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240" w:line="300" w:lineRule="auto"/>
        <w:jc w:val="center"/>
        <w:rPr>
          <w:rFonts w:hint="eastAsia" w:ascii="方正小标宋简体" w:hAnsi="方正小标宋简体" w:eastAsia="方正小标宋简体"/>
          <w:color w:val="FF0000"/>
          <w:spacing w:val="12"/>
          <w:w w:val="75"/>
          <w:sz w:val="60"/>
        </w:rPr>
      </w:pPr>
      <w:r>
        <w:rPr>
          <w:rFonts w:hint="eastAsia" w:ascii="方正小标宋简体" w:hAnsi="方正小标宋简体" w:eastAsia="方正小标宋简体"/>
          <w:color w:val="FF0000"/>
          <w:w w:val="75"/>
          <w:sz w:val="60"/>
        </w:rPr>
        <w:t>中国证券监督管理委员会广东监管局</w:t>
      </w:r>
    </w:p>
    <w:p>
      <w:pPr>
        <w:snapToGrid w:val="0"/>
        <w:spacing w:line="300" w:lineRule="auto"/>
        <w:ind w:right="-194"/>
        <w:jc w:val="center"/>
        <w:rPr>
          <w:rFonts w:hint="eastAsia" w:ascii="方正小标宋简体" w:hAnsi="方正小标宋简体" w:eastAsia="方正小标宋简体"/>
          <w:snapToGrid w:val="0"/>
          <w:color w:val="FF0000"/>
          <w:spacing w:val="136"/>
          <w:kern w:val="0"/>
          <w:sz w:val="80"/>
        </w:rPr>
      </w:pPr>
      <w:r>
        <w:rPr>
          <w:rFonts w:hint="eastAsia" w:ascii="方正小标宋简体" w:hAnsi="方正小标宋简体" w:eastAsia="方正小标宋简体"/>
          <w:snapToGrid w:val="0"/>
          <w:color w:val="FF0000"/>
          <w:spacing w:val="136"/>
          <w:kern w:val="0"/>
          <w:sz w:val="80"/>
        </w:rPr>
        <w:t>行政处罚决定书</w:t>
      </w:r>
    </w:p>
    <w:p>
      <w:pPr>
        <w:keepNext w:val="0"/>
        <w:keepLines w:val="0"/>
        <w:pageBreakBefore w:val="0"/>
        <w:widowControl w:val="0"/>
        <w:kinsoku/>
        <w:wordWrap/>
        <w:overflowPunct/>
        <w:topLinePunct w:val="0"/>
        <w:autoSpaceDE/>
        <w:autoSpaceDN/>
        <w:bidi w:val="0"/>
        <w:snapToGrid w:val="0"/>
        <w:spacing w:before="0" w:beforeLines="0" w:after="0" w:afterLines="0" w:line="300" w:lineRule="auto"/>
        <w:ind w:left="0" w:leftChars="0" w:right="0" w:rightChars="0"/>
        <w:jc w:val="center"/>
        <w:textAlignment w:val="auto"/>
        <w:outlineLvl w:val="9"/>
        <w:rPr>
          <w:rFonts w:hint="eastAsia" w:ascii="仿宋_GB2312" w:eastAsia="仿宋_GB2312"/>
          <w:spacing w:val="12"/>
          <w:sz w:val="32"/>
          <w:szCs w:val="32"/>
        </w:rPr>
      </w:pPr>
    </w:p>
    <w:p>
      <w:pPr>
        <w:snapToGrid w:val="0"/>
        <w:spacing w:before="63" w:beforeLines="20" w:after="63" w:afterLines="20"/>
        <w:ind w:left="0" w:leftChars="0" w:right="0" w:rightChars="0" w:firstLine="0" w:firstLineChars="0"/>
        <w:jc w:val="center"/>
        <w:outlineLvl w:val="0"/>
        <w:rPr>
          <w:rFonts w:hint="eastAsia" w:ascii="方正小标宋简体" w:hAnsi="方正小标宋简体" w:eastAsia="方正小标宋简体" w:cs="方正小标宋简体"/>
          <w:color w:val="000000"/>
          <w:kern w:val="2"/>
          <w:sz w:val="32"/>
          <w:szCs w:val="32"/>
        </w:rPr>
      </w:pPr>
      <w:r>
        <w:rPr>
          <w:rFonts w:hint="eastAsia" w:ascii="仿宋_GB2312" w:hAnsi="Times New Roman" w:eastAsia="仿宋_GB2312" w:cs="Times New Roman"/>
          <w:color w:val="000000"/>
          <w:spacing w:val="12"/>
          <w:kern w:val="2"/>
          <w:sz w:val="28"/>
          <w:szCs w:val="20"/>
        </w:rPr>
        <w:t>〔20</w:t>
      </w:r>
      <w:r>
        <w:rPr>
          <w:rFonts w:hint="eastAsia" w:ascii="仿宋_GB2312" w:hAnsi="Times New Roman" w:eastAsia="仿宋_GB2312" w:cs="Times New Roman"/>
          <w:color w:val="000000"/>
          <w:spacing w:val="12"/>
          <w:kern w:val="2"/>
          <w:sz w:val="28"/>
          <w:szCs w:val="20"/>
          <w:lang w:val="en-US" w:eastAsia="zh-CN"/>
        </w:rPr>
        <w:t>2</w:t>
      </w:r>
      <w:r>
        <w:rPr>
          <w:rFonts w:hint="default" w:ascii="仿宋_GB2312" w:hAnsi="Times New Roman" w:eastAsia="仿宋_GB2312" w:cs="Times New Roman"/>
          <w:color w:val="000000"/>
          <w:spacing w:val="12"/>
          <w:kern w:val="2"/>
          <w:sz w:val="28"/>
          <w:szCs w:val="20"/>
          <w:lang w:val="en-US" w:eastAsia="zh-CN"/>
        </w:rPr>
        <w:t>6</w:t>
      </w:r>
      <w:r>
        <w:rPr>
          <w:rFonts w:hint="eastAsia" w:ascii="仿宋_GB2312" w:hAnsi="Times New Roman" w:eastAsia="仿宋_GB2312" w:cs="Times New Roman"/>
          <w:color w:val="000000"/>
          <w:spacing w:val="12"/>
          <w:kern w:val="2"/>
          <w:sz w:val="28"/>
          <w:szCs w:val="20"/>
        </w:rPr>
        <w:t>〕</w:t>
      </w:r>
      <w:r>
        <w:rPr>
          <w:rFonts w:hint="eastAsia" w:ascii="仿宋_GB2312" w:hAnsi="Times New Roman" w:eastAsia="仿宋_GB2312" w:cs="Times New Roman"/>
          <w:color w:val="000000"/>
          <w:spacing w:val="12"/>
          <w:kern w:val="2"/>
          <w:sz w:val="28"/>
          <w:szCs w:val="20"/>
          <w:lang w:val="en-US" w:eastAsia="zh-CN"/>
        </w:rPr>
        <w:t>20</w:t>
      </w:r>
      <w:r>
        <w:rPr>
          <w:rFonts w:hint="eastAsia" w:ascii="仿宋_GB2312" w:hAnsi="Times New Roman" w:eastAsia="仿宋_GB2312" w:cs="Times New Roman"/>
          <w:color w:val="000000"/>
          <w:spacing w:val="12"/>
          <w:kern w:val="2"/>
          <w:sz w:val="28"/>
          <w:szCs w:val="20"/>
        </w:rPr>
        <w:t>号</w:t>
      </w:r>
    </w:p>
    <w:p>
      <w:pPr>
        <w:rPr>
          <w:rFonts w:hint="eastAsia"/>
        </w:rPr>
      </w:pPr>
    </w:p>
    <w:p>
      <w:pPr>
        <w:pStyle w:val="2"/>
        <w:rPr>
          <w:rFonts w:hint="eastAsia"/>
        </w:rPr>
      </w:pPr>
    </w:p>
    <w:p>
      <w:pPr>
        <w:keepNext w:val="0"/>
        <w:keepLines w:val="0"/>
        <w:pageBreakBefore w:val="0"/>
        <w:widowControl w:val="0"/>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仿宋_GB2312"/>
          <w:color w:val="auto"/>
          <w:sz w:val="32"/>
          <w:szCs w:val="32"/>
          <w:highlight w:val="yellow"/>
          <w:vertAlign w:val="baseline"/>
          <w:lang w:val="en" w:eastAsia="zh-CN"/>
        </w:rPr>
      </w:pPr>
      <w:r>
        <w:rPr>
          <w:rFonts w:hint="eastAsia" w:ascii="仿宋_GB2312" w:hAnsi="仿宋_GB2312" w:eastAsia="仿宋_GB2312" w:cs="仿宋_GB2312"/>
          <w:color w:val="auto"/>
          <w:kern w:val="0"/>
          <w:sz w:val="32"/>
          <w:szCs w:val="32"/>
          <w:vertAlign w:val="baseline"/>
          <w:lang w:val="en-US" w:eastAsia="zh-CN"/>
        </w:rPr>
        <w:t>当事人：岭南生态文旅股份有限公司（以下简称</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vertAlign w:val="baseline"/>
          <w:lang w:val="en-US" w:eastAsia="zh-CN"/>
        </w:rPr>
        <w:t>ST岭南或公司），</w:t>
      </w:r>
      <w:r>
        <w:rPr>
          <w:rFonts w:hint="eastAsia" w:ascii="仿宋_GB2312" w:hAnsi="仿宋_GB2312" w:eastAsia="仿宋_GB2312" w:cs="仿宋_GB2312"/>
          <w:color w:val="auto"/>
          <w:sz w:val="32"/>
          <w:szCs w:val="32"/>
          <w:highlight w:val="none"/>
          <w:vertAlign w:val="baseline"/>
          <w:lang w:val="en" w:eastAsia="zh-CN"/>
        </w:rPr>
        <w:t>住所：广东省中山市火炬开发区中山六路66号建大花园。</w:t>
      </w:r>
    </w:p>
    <w:p>
      <w:pPr>
        <w:keepNext w:val="0"/>
        <w:keepLines w:val="0"/>
        <w:pageBreakBefore w:val="0"/>
        <w:widowControl w:val="0"/>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yellow"/>
          <w:vertAlign w:val="baseline"/>
          <w:lang w:val="en-US" w:eastAsia="zh-CN"/>
        </w:rPr>
      </w:pPr>
      <w:r>
        <w:rPr>
          <w:rFonts w:hint="eastAsia" w:ascii="仿宋_GB2312" w:hAnsi="仿宋_GB2312" w:eastAsia="仿宋_GB2312" w:cs="仿宋_GB2312"/>
          <w:color w:val="auto"/>
          <w:kern w:val="0"/>
          <w:sz w:val="32"/>
          <w:szCs w:val="32"/>
          <w:highlight w:val="none"/>
          <w:vertAlign w:val="baseline"/>
          <w:lang w:val="en-US" w:eastAsia="zh-CN"/>
        </w:rPr>
        <w:t>尹某卫</w:t>
      </w:r>
      <w:r>
        <w:rPr>
          <w:rFonts w:hint="eastAsia" w:ascii="仿宋_GB2312" w:hAnsi="仿宋_GB2312" w:eastAsia="仿宋_GB2312" w:cs="仿宋_GB2312"/>
          <w:b w:val="0"/>
          <w:bCs w:val="0"/>
          <w:color w:val="auto"/>
          <w:sz w:val="32"/>
          <w:szCs w:val="32"/>
          <w:highlight w:val="none"/>
          <w:vertAlign w:val="baseline"/>
          <w:lang w:val="en-US" w:eastAsia="zh-CN"/>
        </w:rPr>
        <w:t>，男，时任</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vertAlign w:val="baseline"/>
          <w:lang w:val="en-US" w:eastAsia="zh-CN"/>
        </w:rPr>
        <w:t>ST岭南</w:t>
      </w:r>
      <w:r>
        <w:rPr>
          <w:rFonts w:hint="eastAsia" w:ascii="仿宋_GB2312" w:hAnsi="仿宋_GB2312" w:eastAsia="仿宋_GB2312" w:cs="仿宋_GB2312"/>
          <w:color w:val="auto"/>
          <w:kern w:val="0"/>
          <w:sz w:val="32"/>
          <w:szCs w:val="32"/>
          <w:vertAlign w:val="baseline"/>
          <w:lang w:val="en" w:eastAsia="zh-CN"/>
        </w:rPr>
        <w:t>董事长、联席董事长、</w:t>
      </w:r>
      <w:r>
        <w:rPr>
          <w:rFonts w:hint="eastAsia" w:ascii="仿宋_GB2312" w:hAnsi="仿宋_GB2312" w:eastAsia="仿宋_GB2312" w:cs="仿宋_GB2312"/>
          <w:color w:val="auto"/>
          <w:kern w:val="0"/>
          <w:sz w:val="32"/>
          <w:szCs w:val="32"/>
          <w:highlight w:val="none"/>
          <w:vertAlign w:val="baseline"/>
          <w:lang w:val="en" w:eastAsia="zh-CN"/>
        </w:rPr>
        <w:t>总裁</w:t>
      </w:r>
      <w:r>
        <w:rPr>
          <w:rFonts w:hint="eastAsia" w:ascii="仿宋_GB2312" w:hAnsi="仿宋_GB2312" w:eastAsia="仿宋_GB2312" w:cs="仿宋_GB2312"/>
          <w:color w:val="auto"/>
          <w:kern w:val="0"/>
          <w:sz w:val="32"/>
          <w:szCs w:val="32"/>
          <w:highlight w:val="none"/>
          <w:vertAlign w:val="baseline"/>
          <w:lang w:val="en-US" w:eastAsia="zh-CN"/>
        </w:rPr>
        <w:t>，</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highlight w:val="none"/>
          <w:vertAlign w:val="baseline"/>
          <w:lang w:val="en-US" w:eastAsia="zh-CN"/>
        </w:rPr>
        <w:t>ST岭南原实际控制人</w:t>
      </w:r>
      <w:r>
        <w:rPr>
          <w:rFonts w:hint="eastAsia" w:ascii="仿宋_GB2312" w:hAnsi="仿宋_GB2312" w:eastAsia="仿宋_GB2312" w:cs="仿宋_GB2312"/>
          <w:color w:val="auto"/>
          <w:kern w:val="0"/>
          <w:sz w:val="32"/>
          <w:szCs w:val="32"/>
          <w:vertAlign w:val="baseline"/>
          <w:lang w:val="en-US" w:eastAsia="zh-CN"/>
        </w:rPr>
        <w:t>。</w:t>
      </w:r>
    </w:p>
    <w:p>
      <w:pPr>
        <w:keepNext w:val="0"/>
        <w:keepLines w:val="0"/>
        <w:pageBreakBefore w:val="0"/>
        <w:widowControl w:val="0"/>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vertAlign w:val="baseline"/>
          <w:lang w:val="en-US" w:eastAsia="zh-CN"/>
        </w:rPr>
      </w:pPr>
      <w:r>
        <w:rPr>
          <w:rFonts w:hint="eastAsia" w:ascii="仿宋_GB2312" w:hAnsi="仿宋_GB2312" w:eastAsia="仿宋_GB2312" w:cs="仿宋_GB2312"/>
          <w:b w:val="0"/>
          <w:bCs w:val="0"/>
          <w:color w:val="auto"/>
          <w:sz w:val="32"/>
          <w:szCs w:val="32"/>
          <w:highlight w:val="none"/>
          <w:vertAlign w:val="baseline"/>
          <w:lang w:val="en-US" w:eastAsia="zh-CN"/>
        </w:rPr>
        <w:t>刘某平，女，时任</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highlight w:val="none"/>
          <w:vertAlign w:val="baseline"/>
          <w:lang w:val="en-US" w:eastAsia="zh-CN"/>
        </w:rPr>
        <w:t>ST岭南</w:t>
      </w:r>
      <w:r>
        <w:rPr>
          <w:rFonts w:hint="eastAsia" w:ascii="仿宋_GB2312" w:hAnsi="仿宋_GB2312" w:eastAsia="仿宋_GB2312" w:cs="仿宋_GB2312"/>
          <w:color w:val="auto"/>
          <w:kern w:val="0"/>
          <w:sz w:val="32"/>
          <w:szCs w:val="32"/>
          <w:highlight w:val="none"/>
          <w:vertAlign w:val="baseline"/>
          <w:lang w:val="en" w:eastAsia="zh-CN"/>
        </w:rPr>
        <w:t>副总裁、</w:t>
      </w:r>
      <w:r>
        <w:rPr>
          <w:rFonts w:hint="eastAsia" w:ascii="仿宋_GB2312" w:hAnsi="仿宋_GB2312" w:eastAsia="仿宋_GB2312" w:cs="仿宋_GB2312"/>
          <w:color w:val="auto"/>
          <w:sz w:val="32"/>
          <w:szCs w:val="32"/>
          <w:highlight w:val="none"/>
          <w:vertAlign w:val="baseline"/>
        </w:rPr>
        <w:t>财务总监</w:t>
      </w:r>
      <w:r>
        <w:rPr>
          <w:rFonts w:hint="eastAsia" w:ascii="仿宋_GB2312" w:hAnsi="仿宋_GB2312" w:eastAsia="仿宋_GB2312" w:cs="仿宋_GB2312"/>
          <w:color w:val="auto"/>
          <w:kern w:val="0"/>
          <w:sz w:val="32"/>
          <w:szCs w:val="32"/>
          <w:highlight w:val="none"/>
          <w:vertAlign w:val="baseline"/>
          <w:lang w:val="en-US" w:eastAsia="zh-CN"/>
        </w:rPr>
        <w:t>。</w:t>
      </w:r>
    </w:p>
    <w:p>
      <w:pPr>
        <w:keepNext w:val="0"/>
        <w:keepLines w:val="0"/>
        <w:pageBreakBefore w:val="0"/>
        <w:widowControl w:val="0"/>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vertAlign w:val="baseline"/>
          <w:lang w:val="en-US" w:eastAsia="zh-CN"/>
        </w:rPr>
      </w:pPr>
      <w:r>
        <w:rPr>
          <w:rFonts w:hint="eastAsia" w:ascii="仿宋_GB2312" w:hAnsi="仿宋_GB2312" w:eastAsia="仿宋_GB2312" w:cs="仿宋_GB2312"/>
          <w:b w:val="0"/>
          <w:bCs w:val="0"/>
          <w:color w:val="auto"/>
          <w:sz w:val="32"/>
          <w:szCs w:val="32"/>
          <w:highlight w:val="none"/>
          <w:vertAlign w:val="baseline"/>
          <w:lang w:val="en-US" w:eastAsia="zh-CN"/>
        </w:rPr>
        <w:t>何某锋，男，时任</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highlight w:val="none"/>
          <w:vertAlign w:val="baseline"/>
          <w:lang w:val="en-US" w:eastAsia="zh-CN"/>
        </w:rPr>
        <w:t>ST岭南</w:t>
      </w:r>
      <w:r>
        <w:rPr>
          <w:rFonts w:hint="eastAsia" w:ascii="仿宋_GB2312" w:hAnsi="仿宋_GB2312" w:eastAsia="仿宋_GB2312" w:cs="仿宋_GB2312"/>
          <w:color w:val="auto"/>
          <w:kern w:val="0"/>
          <w:sz w:val="32"/>
          <w:szCs w:val="32"/>
          <w:highlight w:val="none"/>
          <w:vertAlign w:val="baseline"/>
          <w:lang w:val="en" w:eastAsia="zh-CN"/>
        </w:rPr>
        <w:t>董事、副总裁</w:t>
      </w:r>
      <w:r>
        <w:rPr>
          <w:rFonts w:hint="eastAsia" w:ascii="仿宋_GB2312" w:hAnsi="仿宋_GB2312" w:eastAsia="仿宋_GB2312" w:cs="仿宋_GB2312"/>
          <w:color w:val="auto"/>
          <w:kern w:val="0"/>
          <w:sz w:val="32"/>
          <w:szCs w:val="32"/>
          <w:highlight w:val="none"/>
          <w:vertAlign w:val="baseline"/>
          <w:lang w:val="en-US" w:eastAsia="zh-CN"/>
        </w:rPr>
        <w:t>。</w:t>
      </w:r>
    </w:p>
    <w:p>
      <w:pPr>
        <w:keepNext w:val="0"/>
        <w:keepLines w:val="0"/>
        <w:pageBreakBefore w:val="0"/>
        <w:widowControl w:val="0"/>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highlight w:val="yellow"/>
          <w:vertAlign w:val="baseline"/>
          <w:lang w:eastAsia="zh-CN"/>
        </w:rPr>
      </w:pPr>
      <w:r>
        <w:rPr>
          <w:rFonts w:hint="eastAsia" w:ascii="仿宋_GB2312" w:hAnsi="仿宋_GB2312" w:eastAsia="仿宋_GB2312" w:cs="仿宋_GB2312"/>
          <w:b w:val="0"/>
          <w:bCs w:val="0"/>
          <w:color w:val="auto"/>
          <w:sz w:val="32"/>
          <w:szCs w:val="32"/>
          <w:highlight w:val="none"/>
          <w:vertAlign w:val="baseline"/>
          <w:lang w:val="en-US" w:eastAsia="zh-CN"/>
        </w:rPr>
        <w:t>陈某波</w:t>
      </w:r>
      <w:r>
        <w:rPr>
          <w:rFonts w:hint="eastAsia" w:ascii="仿宋_GB2312" w:hAnsi="仿宋_GB2312" w:eastAsia="仿宋_GB2312" w:cs="仿宋_GB2312"/>
          <w:b w:val="0"/>
          <w:bCs w:val="0"/>
          <w:color w:val="auto"/>
          <w:kern w:val="0"/>
          <w:sz w:val="32"/>
          <w:szCs w:val="32"/>
          <w:highlight w:val="none"/>
          <w:vertAlign w:val="baseline"/>
          <w:lang w:val="en-US" w:eastAsia="zh-CN"/>
        </w:rPr>
        <w:t>，</w:t>
      </w:r>
      <w:r>
        <w:rPr>
          <w:rFonts w:hint="eastAsia" w:ascii="仿宋_GB2312" w:hAnsi="仿宋_GB2312" w:eastAsia="仿宋_GB2312" w:cs="仿宋_GB2312"/>
          <w:b w:val="0"/>
          <w:bCs w:val="0"/>
          <w:color w:val="auto"/>
          <w:sz w:val="32"/>
          <w:szCs w:val="32"/>
          <w:highlight w:val="none"/>
          <w:vertAlign w:val="baseline"/>
          <w:lang w:val="en-US" w:eastAsia="zh-CN"/>
        </w:rPr>
        <w:t>男，时任</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vertAlign w:val="baseline"/>
          <w:lang w:val="en-US" w:eastAsia="zh-CN"/>
        </w:rPr>
        <w:t>ST岭南</w:t>
      </w:r>
      <w:r>
        <w:rPr>
          <w:rFonts w:hint="eastAsia" w:ascii="仿宋_GB2312" w:hAnsi="仿宋_GB2312" w:eastAsia="仿宋_GB2312" w:cs="仿宋_GB2312"/>
          <w:color w:val="auto"/>
          <w:sz w:val="32"/>
          <w:szCs w:val="32"/>
          <w:highlight w:val="none"/>
          <w:vertAlign w:val="baseline"/>
        </w:rPr>
        <w:t>董事长</w:t>
      </w:r>
      <w:r>
        <w:rPr>
          <w:rFonts w:hint="eastAsia" w:ascii="仿宋_GB2312" w:hAnsi="仿宋_GB2312" w:eastAsia="仿宋_GB2312" w:cs="仿宋_GB2312"/>
          <w:color w:val="auto"/>
          <w:sz w:val="32"/>
          <w:szCs w:val="32"/>
          <w:highlight w:val="none"/>
          <w:vertAlign w:val="baseline"/>
          <w:lang w:eastAsia="zh-CN"/>
        </w:rPr>
        <w:t>、</w:t>
      </w:r>
      <w:r>
        <w:rPr>
          <w:rFonts w:hint="eastAsia" w:ascii="仿宋_GB2312" w:hAnsi="仿宋_GB2312" w:eastAsia="仿宋_GB2312" w:cs="仿宋_GB2312"/>
          <w:color w:val="auto"/>
          <w:sz w:val="32"/>
          <w:szCs w:val="32"/>
          <w:highlight w:val="none"/>
          <w:vertAlign w:val="baseline"/>
        </w:rPr>
        <w:t>代董事会秘书</w:t>
      </w:r>
      <w:r>
        <w:rPr>
          <w:rFonts w:hint="eastAsia" w:ascii="仿宋_GB2312" w:hAnsi="仿宋_GB2312" w:eastAsia="仿宋_GB2312" w:cs="仿宋_GB2312"/>
          <w:color w:val="auto"/>
          <w:kern w:val="0"/>
          <w:sz w:val="32"/>
          <w:szCs w:val="32"/>
          <w:highlight w:val="none"/>
          <w:vertAlign w:val="baseline"/>
          <w:lang w:val="en-US" w:eastAsia="zh-CN"/>
        </w:rPr>
        <w:t>。</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48" w:lineRule="auto"/>
        <w:ind w:left="0" w:leftChars="0" w:right="0" w:rightChars="0" w:firstLine="640" w:firstLineChars="200"/>
        <w:jc w:val="both"/>
        <w:textAlignment w:val="auto"/>
        <w:outlineLvl w:val="9"/>
        <w:rPr>
          <w:rFonts w:hint="eastAsia" w:ascii="仿宋_GB2312" w:hAnsi="仿宋_GB2312" w:eastAsia="仿宋_GB2312" w:cs="仿宋_GB2312"/>
          <w:kern w:val="0"/>
          <w:sz w:val="32"/>
          <w:szCs w:val="32"/>
          <w:vertAlign w:val="baseline"/>
          <w:lang w:val="en-US" w:eastAsia="zh-CN" w:bidi="ar-SA"/>
        </w:rPr>
      </w:pPr>
      <w:r>
        <w:rPr>
          <w:rFonts w:hint="eastAsia" w:ascii="仿宋_GB2312" w:hAnsi="仿宋_GB2312" w:eastAsia="仿宋_GB2312" w:cs="仿宋_GB2312"/>
          <w:color w:val="000000"/>
          <w:kern w:val="0"/>
          <w:sz w:val="32"/>
          <w:szCs w:val="32"/>
          <w:vertAlign w:val="baseline"/>
          <w:lang w:val="en" w:eastAsia="zh-CN" w:bidi="ar-SA"/>
        </w:rPr>
        <w:t>依据《中华人民共和国证券法》（以下简称《证券法》）有关法律规定，我局对</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vertAlign w:val="baseline"/>
          <w:lang w:val="en-US" w:eastAsia="zh-CN"/>
        </w:rPr>
        <w:t>ST岭南、尹某卫</w:t>
      </w:r>
      <w:r>
        <w:rPr>
          <w:rFonts w:hint="eastAsia" w:ascii="仿宋_GB2312" w:hAnsi="仿宋_GB2312" w:eastAsia="仿宋_GB2312" w:cs="仿宋_GB2312"/>
          <w:kern w:val="0"/>
          <w:sz w:val="32"/>
          <w:szCs w:val="32"/>
          <w:vertAlign w:val="baseline"/>
          <w:lang w:val="en-US" w:eastAsia="zh-CN"/>
        </w:rPr>
        <w:t>信息披露违法违规</w:t>
      </w:r>
      <w:r>
        <w:rPr>
          <w:rFonts w:hint="eastAsia" w:ascii="仿宋_GB2312" w:hAnsi="仿宋_GB2312" w:eastAsia="仿宋_GB2312" w:cs="仿宋_GB2312"/>
          <w:color w:val="000000"/>
          <w:kern w:val="0"/>
          <w:sz w:val="32"/>
          <w:szCs w:val="32"/>
          <w:vertAlign w:val="baseline"/>
          <w:lang w:val="en" w:eastAsia="zh-CN" w:bidi="ar-SA"/>
        </w:rPr>
        <w:t>行为进行了立案调查，并依法向当事人告知了作出行政处罚的事实、理由、依据及当事人依法享有的权利。</w:t>
      </w:r>
      <w:r>
        <w:rPr>
          <w:rFonts w:hint="eastAsia" w:ascii="仿宋_GB2312" w:hAnsi="仿宋_GB2312" w:eastAsia="仿宋_GB2312" w:cs="仿宋_GB2312"/>
          <w:color w:val="000000"/>
          <w:kern w:val="0"/>
          <w:sz w:val="32"/>
          <w:szCs w:val="32"/>
          <w:vertAlign w:val="baseline"/>
          <w:lang w:val="en-US" w:eastAsia="zh-CN"/>
        </w:rPr>
        <w:t>应当事人的要求，我局于2026年7月3日举行听证会，听取当事人</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vertAlign w:val="baseline"/>
          <w:lang w:val="en-US" w:eastAsia="zh-CN"/>
        </w:rPr>
        <w:t>ST岭南、尹某卫、刘某平、何某锋、陈某波</w:t>
      </w:r>
      <w:r>
        <w:rPr>
          <w:rFonts w:hint="eastAsia" w:ascii="仿宋_GB2312" w:hAnsi="仿宋_GB2312" w:eastAsia="仿宋_GB2312" w:cs="仿宋_GB2312"/>
          <w:color w:val="000000"/>
          <w:kern w:val="0"/>
          <w:sz w:val="32"/>
          <w:szCs w:val="32"/>
          <w:vertAlign w:val="baseline"/>
          <w:lang w:val="en-US" w:eastAsia="zh-CN"/>
        </w:rPr>
        <w:t>及其代理人的陈述和申辩意见</w:t>
      </w:r>
      <w:r>
        <w:rPr>
          <w:rFonts w:hint="eastAsia" w:ascii="仿宋_GB2312" w:hAnsi="仿宋_GB2312" w:eastAsia="仿宋_GB2312" w:cs="仿宋_GB2312"/>
          <w:color w:val="000000"/>
          <w:kern w:val="0"/>
          <w:sz w:val="32"/>
          <w:szCs w:val="32"/>
          <w:vertAlign w:val="baseline"/>
          <w:lang w:val="en" w:eastAsia="zh-CN" w:bidi="ar-SA"/>
        </w:rPr>
        <w:t>。本案现已调查、办理终结。</w:t>
      </w:r>
    </w:p>
    <w:p>
      <w:pPr>
        <w:keepNext w:val="0"/>
        <w:keepLines w:val="0"/>
        <w:pageBreakBefore w:val="0"/>
        <w:widowControl w:val="0"/>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vertAlign w:val="baseline"/>
          <w:lang w:val="en-US" w:eastAsia="zh-CN"/>
        </w:rPr>
      </w:pPr>
      <w:r>
        <w:rPr>
          <w:rFonts w:hint="eastAsia" w:ascii="仿宋_GB2312" w:hAnsi="仿宋_GB2312" w:eastAsia="仿宋_GB2312" w:cs="仿宋_GB2312"/>
          <w:color w:val="auto"/>
          <w:kern w:val="0"/>
          <w:sz w:val="32"/>
          <w:szCs w:val="32"/>
          <w:vertAlign w:val="baseline"/>
          <w:lang w:val="en-US" w:eastAsia="zh-CN"/>
        </w:rPr>
        <w:t>经查明，</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b w:val="0"/>
          <w:bCs w:val="0"/>
          <w:color w:val="auto"/>
          <w:sz w:val="32"/>
          <w:szCs w:val="32"/>
          <w:vertAlign w:val="baseline"/>
          <w:lang w:val="en-US" w:eastAsia="zh-CN"/>
        </w:rPr>
        <w:t>ST岭</w:t>
      </w:r>
      <w:r>
        <w:rPr>
          <w:rFonts w:hint="eastAsia" w:ascii="仿宋_GB2312" w:hAnsi="仿宋_GB2312" w:eastAsia="仿宋_GB2312" w:cs="仿宋_GB2312"/>
          <w:color w:val="auto"/>
          <w:kern w:val="0"/>
          <w:sz w:val="32"/>
          <w:szCs w:val="32"/>
          <w:vertAlign w:val="baseline"/>
          <w:lang w:val="en-US" w:eastAsia="zh-CN"/>
        </w:rPr>
        <w:t>南、</w:t>
      </w:r>
      <w:r>
        <w:rPr>
          <w:rFonts w:hint="eastAsia" w:ascii="仿宋_GB2312" w:hAnsi="仿宋_GB2312" w:eastAsia="仿宋_GB2312" w:cs="仿宋_GB2312"/>
          <w:b w:val="0"/>
          <w:bCs w:val="0"/>
          <w:color w:val="auto"/>
          <w:sz w:val="32"/>
          <w:szCs w:val="32"/>
          <w:vertAlign w:val="baseline"/>
          <w:lang w:val="en-US" w:eastAsia="zh-CN"/>
        </w:rPr>
        <w:t>尹某卫</w:t>
      </w:r>
      <w:r>
        <w:rPr>
          <w:rFonts w:hint="eastAsia" w:ascii="仿宋_GB2312" w:hAnsi="仿宋_GB2312" w:eastAsia="仿宋_GB2312" w:cs="仿宋_GB2312"/>
          <w:color w:val="auto"/>
          <w:kern w:val="0"/>
          <w:sz w:val="32"/>
          <w:szCs w:val="32"/>
          <w:vertAlign w:val="baseline"/>
          <w:lang w:val="en-US" w:eastAsia="zh-CN"/>
        </w:rPr>
        <w:t>存在以下违法事实：</w:t>
      </w:r>
    </w:p>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336" w:lineRule="auto"/>
        <w:ind w:right="0" w:rightChars="0" w:firstLine="640" w:firstLineChars="200"/>
        <w:jc w:val="both"/>
        <w:textAlignment w:val="auto"/>
        <w:outlineLvl w:val="0"/>
        <w:rPr>
          <w:rFonts w:hint="eastAsia" w:ascii="黑体" w:hAnsi="黑体" w:eastAsia="黑体" w:cs="黑体"/>
          <w:b w:val="0"/>
          <w:bCs w:val="0"/>
          <w:snapToGrid/>
          <w:color w:val="auto"/>
          <w:kern w:val="2"/>
          <w:sz w:val="32"/>
          <w:szCs w:val="32"/>
          <w:lang w:val="en-US" w:eastAsia="zh-CN" w:bidi="ar-SA"/>
        </w:rPr>
      </w:pPr>
      <w:r>
        <w:rPr>
          <w:rFonts w:hint="eastAsia" w:ascii="黑体" w:hAnsi="黑体" w:eastAsia="黑体" w:cs="黑体"/>
          <w:color w:val="auto"/>
          <w:kern w:val="2"/>
          <w:sz w:val="32"/>
          <w:szCs w:val="32"/>
          <w:lang w:val="en-US" w:eastAsia="zh-CN"/>
        </w:rPr>
        <w:t>一、</w:t>
      </w:r>
      <w:r>
        <w:rPr>
          <w:rFonts w:hint="eastAsia" w:ascii="仿宋_GB2312" w:hAnsi="仿宋_GB2312" w:eastAsia="仿宋_GB2312" w:cs="仿宋_GB2312"/>
          <w:b w:val="0"/>
          <w:bCs w:val="0"/>
          <w:snapToGrid/>
          <w:color w:val="auto"/>
          <w:kern w:val="2"/>
          <w:sz w:val="32"/>
          <w:szCs w:val="32"/>
          <w:lang w:val="en-US" w:eastAsia="zh-CN" w:bidi="ar-SA"/>
        </w:rPr>
        <w:t>*</w:t>
      </w:r>
      <w:r>
        <w:rPr>
          <w:rFonts w:hint="eastAsia" w:ascii="黑体" w:hAnsi="黑体" w:eastAsia="黑体" w:cs="黑体"/>
          <w:b w:val="0"/>
          <w:bCs w:val="0"/>
          <w:snapToGrid/>
          <w:color w:val="auto"/>
          <w:kern w:val="2"/>
          <w:sz w:val="32"/>
          <w:szCs w:val="32"/>
          <w:lang w:val="en-US" w:eastAsia="zh-CN" w:bidi="ar-SA"/>
        </w:rPr>
        <w:t>ST岭南未按规定披露资金占用事项，</w:t>
      </w:r>
      <w:r>
        <w:rPr>
          <w:rFonts w:hint="default" w:ascii="Times New Roman" w:hAnsi="Times New Roman" w:eastAsia="黑体" w:cs="Times New Roman"/>
          <w:b w:val="0"/>
          <w:bCs w:val="0"/>
          <w:snapToGrid/>
          <w:color w:val="auto"/>
          <w:kern w:val="2"/>
          <w:sz w:val="32"/>
          <w:szCs w:val="32"/>
          <w:lang w:val="en-US" w:eastAsia="zh-CN" w:bidi="ar-SA"/>
        </w:rPr>
        <w:t>2021</w:t>
      </w:r>
      <w:r>
        <w:rPr>
          <w:rFonts w:hint="eastAsia" w:ascii="黑体" w:hAnsi="黑体" w:eastAsia="黑体" w:cs="黑体"/>
          <w:b w:val="0"/>
          <w:bCs w:val="0"/>
          <w:snapToGrid/>
          <w:color w:val="auto"/>
          <w:kern w:val="2"/>
          <w:sz w:val="32"/>
          <w:szCs w:val="32"/>
          <w:lang w:val="en-US" w:eastAsia="zh-CN" w:bidi="ar-SA"/>
        </w:rPr>
        <w:t>年年度报告存在重大遗漏</w:t>
      </w:r>
    </w:p>
    <w:p>
      <w:pPr>
        <w:pStyle w:val="6"/>
        <w:keepNext w:val="0"/>
        <w:keepLines w:val="0"/>
        <w:pageBreakBefore w:val="0"/>
        <w:kinsoku/>
        <w:overflowPunct w:val="0"/>
        <w:topLinePunct w:val="0"/>
        <w:autoSpaceDE/>
        <w:autoSpaceDN/>
        <w:bidi w:val="0"/>
        <w:adjustRightInd w:val="0"/>
        <w:snapToGrid w:val="0"/>
        <w:spacing w:before="0" w:beforeLines="0" w:afterLines="0" w:line="336" w:lineRule="auto"/>
        <w:ind w:firstLine="640" w:firstLineChars="200"/>
        <w:rPr>
          <w:rFonts w:hint="eastAsia" w:ascii="仿宋_GB2312" w:hAnsi="仿宋_GB2312" w:eastAsia="仿宋_GB2312" w:cs="仿宋_GB2312"/>
          <w:color w:val="auto"/>
          <w:sz w:val="32"/>
          <w:szCs w:val="32"/>
          <w:vertAlign w:val="baseline"/>
        </w:rPr>
      </w:pPr>
      <w:r>
        <w:rPr>
          <w:rFonts w:hint="eastAsia" w:ascii="仿宋_GB2312" w:hAnsi="仿宋_GB2312" w:eastAsia="仿宋_GB2312" w:cs="仿宋_GB2312"/>
          <w:color w:val="auto"/>
          <w:sz w:val="32"/>
          <w:szCs w:val="32"/>
          <w:vertAlign w:val="baseline"/>
          <w:lang w:val="en-US" w:eastAsia="zh-CN"/>
        </w:rPr>
        <w:t>2022年12月20日以前，尹某卫系</w:t>
      </w:r>
      <w:r>
        <w:rPr>
          <w:rFonts w:hint="eastAsia" w:ascii="仿宋_GB2312" w:hAnsi="仿宋_GB2312" w:eastAsia="仿宋_GB2312" w:cs="仿宋_GB2312"/>
          <w:color w:val="auto"/>
          <w:kern w:val="0"/>
          <w:sz w:val="32"/>
          <w:szCs w:val="32"/>
          <w:highlight w:val="none"/>
          <w:vertAlign w:val="baseline"/>
          <w:lang w:val="en-US" w:eastAsia="zh-CN"/>
        </w:rPr>
        <w:t>*</w:t>
      </w:r>
      <w:r>
        <w:rPr>
          <w:rFonts w:hint="eastAsia" w:ascii="仿宋_GB2312" w:hAnsi="仿宋_GB2312" w:eastAsia="仿宋_GB2312" w:cs="仿宋_GB2312"/>
          <w:color w:val="auto"/>
          <w:sz w:val="32"/>
          <w:szCs w:val="32"/>
          <w:vertAlign w:val="baseline"/>
          <w:lang w:val="en-US" w:eastAsia="zh-CN"/>
        </w:rPr>
        <w:t>ST岭南实际控制人。2021年，按照尹某卫安排，</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sz w:val="32"/>
          <w:szCs w:val="32"/>
          <w:vertAlign w:val="baseline"/>
          <w:lang w:eastAsia="zh-CN"/>
        </w:rPr>
        <w:t>ST岭南向广东、安徽</w:t>
      </w:r>
      <w:r>
        <w:rPr>
          <w:rFonts w:hint="eastAsia" w:ascii="仿宋_GB2312" w:hAnsi="仿宋_GB2312" w:eastAsia="仿宋_GB2312" w:cs="仿宋_GB2312"/>
          <w:b w:val="0"/>
          <w:bCs w:val="0"/>
          <w:snapToGrid/>
          <w:color w:val="auto"/>
          <w:kern w:val="2"/>
          <w:sz w:val="32"/>
          <w:szCs w:val="32"/>
          <w:vertAlign w:val="baseline"/>
          <w:lang w:val="en-US" w:eastAsia="zh-CN" w:bidi="ar-SA"/>
        </w:rPr>
        <w:t>等地8家供应商</w:t>
      </w:r>
      <w:r>
        <w:rPr>
          <w:rFonts w:hint="eastAsia" w:ascii="仿宋_GB2312" w:hAnsi="仿宋_GB2312" w:eastAsia="仿宋_GB2312" w:cs="仿宋_GB2312"/>
          <w:color w:val="auto"/>
          <w:sz w:val="32"/>
          <w:szCs w:val="32"/>
          <w:vertAlign w:val="baseline"/>
        </w:rPr>
        <w:t>以</w:t>
      </w:r>
      <w:r>
        <w:rPr>
          <w:rFonts w:hint="eastAsia" w:ascii="仿宋_GB2312" w:hAnsi="仿宋_GB2312" w:eastAsia="仿宋_GB2312" w:cs="仿宋_GB2312"/>
          <w:b w:val="0"/>
          <w:bCs w:val="0"/>
          <w:snapToGrid/>
          <w:color w:val="auto"/>
          <w:kern w:val="2"/>
          <w:sz w:val="32"/>
          <w:szCs w:val="32"/>
          <w:vertAlign w:val="baseline"/>
          <w:lang w:val="en-US" w:eastAsia="zh-CN" w:bidi="ar-SA"/>
        </w:rPr>
        <w:t>预付工程款、支付往来款等名义支付资金，资金划转后，大部分流入尹某卫实际控制或指定的账户，用于尹某卫偿还贷款、缴纳税款、办理股票质押贷款展期等事项，构成实际控制人非经营性资金占用形成的关联交易。2021年，资金占用发生额544,239,858.07元，</w:t>
      </w:r>
      <w:r>
        <w:rPr>
          <w:rFonts w:hint="eastAsia" w:ascii="仿宋_GB2312" w:hAnsi="仿宋_GB2312" w:eastAsia="仿宋_GB2312" w:cs="仿宋_GB2312"/>
          <w:b w:val="0"/>
          <w:bCs w:val="0"/>
          <w:color w:val="auto"/>
          <w:kern w:val="0"/>
          <w:sz w:val="32"/>
          <w:szCs w:val="32"/>
          <w:highlight w:val="none"/>
          <w:vertAlign w:val="baseline"/>
          <w:lang w:val="en-US" w:eastAsia="zh-CN"/>
        </w:rPr>
        <w:t>占最近一期经审计净资产的11.23%，</w:t>
      </w:r>
      <w:r>
        <w:rPr>
          <w:rFonts w:hint="eastAsia" w:ascii="仿宋_GB2312" w:hAnsi="仿宋_GB2312" w:eastAsia="仿宋_GB2312" w:cs="仿宋_GB2312"/>
          <w:color w:val="auto"/>
          <w:sz w:val="32"/>
          <w:szCs w:val="32"/>
          <w:vertAlign w:val="baseline"/>
        </w:rPr>
        <w:t>占当期披露净资产的10.58%</w:t>
      </w:r>
      <w:r>
        <w:rPr>
          <w:rFonts w:hint="eastAsia" w:ascii="仿宋_GB2312" w:hAnsi="仿宋_GB2312" w:eastAsia="仿宋_GB2312" w:cs="仿宋_GB2312"/>
          <w:color w:val="auto"/>
          <w:sz w:val="32"/>
          <w:szCs w:val="32"/>
          <w:vertAlign w:val="baseline"/>
          <w:lang w:eastAsia="zh-CN"/>
        </w:rPr>
        <w:t>。</w:t>
      </w:r>
      <w:r>
        <w:rPr>
          <w:rFonts w:hint="eastAsia" w:ascii="仿宋_GB2312" w:hAnsi="仿宋_GB2312" w:eastAsia="仿宋_GB2312" w:cs="仿宋_GB2312"/>
          <w:color w:val="auto"/>
          <w:sz w:val="32"/>
          <w:szCs w:val="32"/>
          <w:vertAlign w:val="baseline"/>
          <w:lang w:val="en-US" w:eastAsia="zh-CN"/>
        </w:rPr>
        <w:t>2021年末，资金占用余额215,447,258.07元，占当期披露净资产的4.19%。</w:t>
      </w:r>
      <w:r>
        <w:rPr>
          <w:rFonts w:hint="eastAsia" w:ascii="仿宋_GB2312" w:hAnsi="仿宋_GB2312" w:eastAsia="仿宋_GB2312" w:cs="仿宋_GB2312"/>
          <w:color w:val="auto"/>
          <w:sz w:val="32"/>
          <w:szCs w:val="32"/>
          <w:lang w:eastAsia="zh-CN"/>
        </w:rPr>
        <w:t>截至</w:t>
      </w:r>
      <w:r>
        <w:rPr>
          <w:rFonts w:hint="eastAsia" w:ascii="仿宋_GB2312" w:hAnsi="仿宋_GB2312" w:eastAsia="仿宋_GB2312" w:cs="仿宋_GB2312"/>
          <w:color w:val="auto"/>
          <w:sz w:val="32"/>
          <w:szCs w:val="32"/>
          <w:lang w:val="en-US" w:eastAsia="zh-CN"/>
        </w:rPr>
        <w:t>2025年8月25日</w:t>
      </w:r>
      <w:r>
        <w:rPr>
          <w:rFonts w:hint="eastAsia" w:ascii="仿宋_GB2312" w:hAnsi="仿宋_GB2312" w:eastAsia="仿宋_GB2312" w:cs="仿宋_GB2312"/>
          <w:color w:val="auto"/>
          <w:sz w:val="32"/>
          <w:szCs w:val="32"/>
          <w:lang w:eastAsia="zh-CN"/>
        </w:rPr>
        <w:t>，仍有</w:t>
      </w:r>
      <w:r>
        <w:rPr>
          <w:rFonts w:hint="eastAsia" w:ascii="仿宋_GB2312" w:hAnsi="仿宋_GB2312" w:eastAsia="仿宋_GB2312" w:cs="仿宋_GB2312"/>
          <w:color w:val="auto"/>
          <w:sz w:val="32"/>
          <w:szCs w:val="32"/>
        </w:rPr>
        <w:t>148,823,356.25元</w:t>
      </w:r>
      <w:r>
        <w:rPr>
          <w:rFonts w:hint="eastAsia" w:ascii="仿宋_GB2312" w:hAnsi="仿宋_GB2312" w:eastAsia="仿宋_GB2312" w:cs="仿宋_GB2312"/>
          <w:color w:val="auto"/>
          <w:sz w:val="32"/>
          <w:szCs w:val="32"/>
          <w:lang w:eastAsia="zh-CN"/>
        </w:rPr>
        <w:t>占用资金未归还。</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Lines="0" w:afterLines="0" w:line="336" w:lineRule="auto"/>
        <w:ind w:firstLine="640" w:firstLineChars="0"/>
        <w:outlineLvl w:val="9"/>
        <w:rPr>
          <w:rFonts w:hint="eastAsia" w:ascii="仿宋_GB2312" w:hAnsi="仿宋_GB2312" w:eastAsia="仿宋_GB2312" w:cs="仿宋_GB2312"/>
          <w:b w:val="0"/>
          <w:bCs w:val="0"/>
          <w:color w:val="auto"/>
          <w:kern w:val="0"/>
          <w:sz w:val="32"/>
          <w:szCs w:val="32"/>
          <w:highlight w:val="none"/>
          <w:vertAlign w:val="baseline"/>
          <w:lang w:val="en-US" w:eastAsia="zh-CN"/>
        </w:rPr>
      </w:pPr>
      <w:r>
        <w:rPr>
          <w:rFonts w:hint="eastAsia" w:ascii="仿宋_GB2312" w:hAnsi="仿宋_GB2312" w:eastAsia="仿宋_GB2312" w:cs="仿宋_GB2312"/>
          <w:color w:val="auto"/>
          <w:kern w:val="0"/>
          <w:sz w:val="32"/>
          <w:szCs w:val="32"/>
          <w:vertAlign w:val="baseline"/>
          <w:lang w:val="en-US" w:eastAsia="zh-CN"/>
        </w:rPr>
        <w:t>根据《证券法》第八十条第一款、第二款第三项、《公开发行证券的公司信息披露内容与格式准则第2号—年度报告的内容与格式（2021年修订）》（证监会公告〔2021</w:t>
      </w:r>
      <w:r>
        <w:rPr>
          <w:rFonts w:hint="eastAsia" w:ascii="仿宋_GB2312" w:hAnsi="仿宋_GB2312" w:eastAsia="仿宋_GB2312" w:cs="仿宋_GB2312"/>
          <w:color w:val="auto"/>
          <w:kern w:val="0"/>
          <w:sz w:val="32"/>
          <w:szCs w:val="32"/>
          <w:highlight w:val="none"/>
          <w:vertAlign w:val="baseline"/>
          <w:lang w:val="en-US" w:eastAsia="zh-CN"/>
        </w:rPr>
        <w:t>〕15号）第四十五条第一款的规定，上述事项应当及时披露，并在定期报告中披露。</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b w:val="0"/>
          <w:bCs w:val="0"/>
          <w:snapToGrid/>
          <w:color w:val="auto"/>
          <w:kern w:val="2"/>
          <w:sz w:val="32"/>
          <w:szCs w:val="32"/>
          <w:highlight w:val="none"/>
          <w:vertAlign w:val="baseline"/>
          <w:lang w:val="en-US" w:eastAsia="zh-CN" w:bidi="ar-SA"/>
        </w:rPr>
        <w:t>ST岭南未按规定及时披露上述资金占用形成的关联交易，也未在2021年年度报告中披露资金占用情况，2021年年度报告存在</w:t>
      </w:r>
      <w:r>
        <w:rPr>
          <w:rFonts w:hint="eastAsia" w:ascii="仿宋_GB2312" w:hAnsi="仿宋_GB2312" w:eastAsia="仿宋_GB2312" w:cs="仿宋_GB2312"/>
          <w:b w:val="0"/>
          <w:bCs w:val="0"/>
          <w:color w:val="auto"/>
          <w:kern w:val="0"/>
          <w:sz w:val="32"/>
          <w:szCs w:val="32"/>
          <w:highlight w:val="none"/>
          <w:vertAlign w:val="baseline"/>
          <w:lang w:val="en-US" w:eastAsia="zh-CN"/>
        </w:rPr>
        <w:t>重大遗漏。</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0" w:afterLines="0" w:line="336" w:lineRule="auto"/>
        <w:ind w:left="0" w:leftChars="0" w:right="0" w:rightChars="0" w:firstLine="640" w:firstLineChars="0"/>
        <w:jc w:val="left"/>
        <w:textAlignment w:val="auto"/>
        <w:outlineLvl w:val="9"/>
        <w:rPr>
          <w:rFonts w:hint="eastAsia" w:ascii="黑体" w:hAnsi="黑体" w:eastAsia="黑体" w:cs="黑体"/>
          <w:color w:val="auto"/>
          <w:kern w:val="2"/>
          <w:sz w:val="32"/>
          <w:szCs w:val="32"/>
          <w:lang w:val="en-US" w:eastAsia="zh-CN"/>
        </w:rPr>
      </w:pPr>
      <w:r>
        <w:rPr>
          <w:rFonts w:hint="eastAsia" w:ascii="黑体" w:hAnsi="黑体" w:eastAsia="黑体" w:cs="黑体"/>
          <w:color w:val="auto"/>
          <w:kern w:val="2"/>
          <w:sz w:val="32"/>
          <w:szCs w:val="32"/>
          <w:lang w:val="en-US" w:eastAsia="zh-CN"/>
        </w:rPr>
        <w:t>二、</w:t>
      </w:r>
      <w:r>
        <w:rPr>
          <w:rFonts w:hint="eastAsia" w:ascii="仿宋_GB2312" w:hAnsi="仿宋_GB2312" w:eastAsia="仿宋_GB2312" w:cs="仿宋_GB2312"/>
          <w:b w:val="0"/>
          <w:bCs w:val="0"/>
          <w:snapToGrid/>
          <w:color w:val="auto"/>
          <w:kern w:val="2"/>
          <w:sz w:val="32"/>
          <w:szCs w:val="32"/>
          <w:lang w:val="en-US" w:eastAsia="zh-CN" w:bidi="ar-SA"/>
        </w:rPr>
        <w:t>*</w:t>
      </w:r>
      <w:r>
        <w:rPr>
          <w:rFonts w:hint="eastAsia" w:ascii="黑体" w:hAnsi="黑体" w:eastAsia="黑体" w:cs="黑体"/>
          <w:b w:val="0"/>
          <w:bCs w:val="0"/>
          <w:snapToGrid/>
          <w:color w:val="auto"/>
          <w:kern w:val="2"/>
          <w:sz w:val="32"/>
          <w:szCs w:val="32"/>
          <w:lang w:val="en-US" w:eastAsia="zh-CN" w:bidi="ar-SA"/>
        </w:rPr>
        <w:t>ST</w:t>
      </w:r>
      <w:r>
        <w:rPr>
          <w:rFonts w:hint="eastAsia" w:ascii="黑体" w:hAnsi="黑体" w:eastAsia="黑体" w:cs="黑体"/>
          <w:b w:val="0"/>
          <w:bCs w:val="0"/>
          <w:color w:val="auto"/>
          <w:sz w:val="32"/>
          <w:szCs w:val="32"/>
          <w:lang w:val="en-US" w:eastAsia="zh-CN"/>
        </w:rPr>
        <w:t>岭南虚构苗木采购业务，掩盖资金占用进行账务处理，</w:t>
      </w:r>
      <w:r>
        <w:rPr>
          <w:rFonts w:hint="default" w:ascii="Times New Roman" w:hAnsi="Times New Roman" w:eastAsia="黑体" w:cs="Times New Roman"/>
          <w:b w:val="0"/>
          <w:bCs w:val="0"/>
          <w:color w:val="auto"/>
          <w:sz w:val="32"/>
          <w:szCs w:val="32"/>
          <w:lang w:val="en-US" w:eastAsia="zh-CN"/>
        </w:rPr>
        <w:t>2021</w:t>
      </w:r>
      <w:r>
        <w:rPr>
          <w:rFonts w:hint="eastAsia" w:ascii="黑体" w:hAnsi="黑体" w:eastAsia="黑体" w:cs="黑体"/>
          <w:b w:val="0"/>
          <w:bCs w:val="0"/>
          <w:color w:val="auto"/>
          <w:sz w:val="32"/>
          <w:szCs w:val="32"/>
          <w:lang w:val="en-US" w:eastAsia="zh-CN"/>
        </w:rPr>
        <w:t>年年度报告存在虚假记载</w:t>
      </w:r>
    </w:p>
    <w:p>
      <w:pPr>
        <w:keepNext w:val="0"/>
        <w:keepLines w:val="0"/>
        <w:pageBreakBefore w:val="0"/>
        <w:widowControl w:val="0"/>
        <w:numPr>
          <w:ilvl w:val="0"/>
          <w:numId w:val="0"/>
        </w:numPr>
        <w:kinsoku/>
        <w:wordWrap/>
        <w:overflowPunct w:val="0"/>
        <w:topLinePunct w:val="0"/>
        <w:autoSpaceDE/>
        <w:autoSpaceDN/>
        <w:bidi w:val="0"/>
        <w:adjustRightInd/>
        <w:snapToGrid w:val="0"/>
        <w:spacing w:before="0" w:beforeLines="0" w:afterLines="0" w:line="336" w:lineRule="auto"/>
        <w:ind w:firstLine="640" w:firstLineChars="200"/>
        <w:jc w:val="both"/>
        <w:textAlignment w:val="auto"/>
        <w:outlineLvl w:val="9"/>
        <w:rPr>
          <w:rFonts w:hint="eastAsia" w:ascii="仿宋_GB2312" w:hAnsi="仿宋_GB2312" w:eastAsia="仿宋_GB2312" w:cs="仿宋_GB2312"/>
          <w:b w:val="0"/>
          <w:bCs w:val="0"/>
          <w:snapToGrid/>
          <w:color w:val="auto"/>
          <w:kern w:val="2"/>
          <w:sz w:val="32"/>
          <w:szCs w:val="32"/>
          <w:vertAlign w:val="baseline"/>
          <w:lang w:val="en-US" w:eastAsia="zh-CN" w:bidi="ar-SA"/>
        </w:rPr>
      </w:pPr>
      <w:r>
        <w:rPr>
          <w:rFonts w:hint="eastAsia" w:ascii="仿宋_GB2312" w:hAnsi="仿宋_GB2312" w:eastAsia="仿宋_GB2312" w:cs="仿宋_GB2312"/>
          <w:b w:val="0"/>
          <w:bCs w:val="0"/>
          <w:snapToGrid/>
          <w:color w:val="auto"/>
          <w:kern w:val="2"/>
          <w:sz w:val="32"/>
          <w:szCs w:val="32"/>
          <w:vertAlign w:val="baseline"/>
          <w:lang w:val="en-US" w:eastAsia="zh-CN" w:bidi="ar-SA"/>
        </w:rPr>
        <w:t>2021年，</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b w:val="0"/>
          <w:bCs w:val="0"/>
          <w:snapToGrid/>
          <w:color w:val="auto"/>
          <w:kern w:val="2"/>
          <w:sz w:val="32"/>
          <w:szCs w:val="32"/>
          <w:vertAlign w:val="baseline"/>
          <w:lang w:val="en-US" w:eastAsia="zh-CN" w:bidi="ar-SA"/>
        </w:rPr>
        <w:t>ST岭南在</w:t>
      </w:r>
      <w:r>
        <w:rPr>
          <w:rFonts w:hint="eastAsia" w:ascii="仿宋_GB2312" w:hAnsi="仿宋_GB2312" w:eastAsia="仿宋_GB2312" w:cs="仿宋_GB2312"/>
          <w:color w:val="auto"/>
          <w:sz w:val="32"/>
          <w:szCs w:val="32"/>
          <w:highlight w:val="none"/>
          <w:vertAlign w:val="baseline"/>
          <w:lang w:eastAsia="zh-CN"/>
        </w:rPr>
        <w:t>子公司岭南园林建设集团有限公司（以下简称园林集团）的</w:t>
      </w:r>
      <w:r>
        <w:rPr>
          <w:rFonts w:hint="eastAsia" w:ascii="仿宋_GB2312" w:hAnsi="仿宋_GB2312" w:eastAsia="仿宋_GB2312" w:cs="仿宋_GB2312"/>
          <w:b w:val="0"/>
          <w:bCs w:val="0"/>
          <w:snapToGrid/>
          <w:color w:val="auto"/>
          <w:kern w:val="2"/>
          <w:sz w:val="32"/>
          <w:szCs w:val="32"/>
          <w:vertAlign w:val="baseline"/>
          <w:lang w:val="en-US" w:eastAsia="zh-CN" w:bidi="ar-SA"/>
        </w:rPr>
        <w:t>界首森林公园项目中虚构苗木采购单据，违规确认该年度补苗及养护成本，导致当年虚增成本77,077,304.54元，虚减利润总额77,077,304.54元。</w:t>
      </w:r>
    </w:p>
    <w:p>
      <w:pPr>
        <w:keepNext w:val="0"/>
        <w:keepLines w:val="0"/>
        <w:pageBreakBefore w:val="0"/>
        <w:widowControl w:val="0"/>
        <w:numPr>
          <w:ilvl w:val="0"/>
          <w:numId w:val="0"/>
        </w:numPr>
        <w:kinsoku/>
        <w:wordWrap/>
        <w:overflowPunct w:val="0"/>
        <w:topLinePunct w:val="0"/>
        <w:autoSpaceDE/>
        <w:autoSpaceDN/>
        <w:bidi w:val="0"/>
        <w:adjustRightInd/>
        <w:snapToGrid w:val="0"/>
        <w:spacing w:before="0" w:beforeLines="0" w:afterLines="0" w:line="336" w:lineRule="auto"/>
        <w:ind w:firstLine="640" w:firstLineChars="200"/>
        <w:jc w:val="both"/>
        <w:textAlignment w:val="auto"/>
        <w:outlineLvl w:val="9"/>
        <w:rPr>
          <w:rFonts w:hint="eastAsia" w:ascii="仿宋_GB2312" w:hAnsi="仿宋_GB2312" w:eastAsia="仿宋_GB2312" w:cs="仿宋_GB2312"/>
          <w:b w:val="0"/>
          <w:bCs w:val="0"/>
          <w:snapToGrid/>
          <w:color w:val="auto"/>
          <w:kern w:val="2"/>
          <w:sz w:val="32"/>
          <w:szCs w:val="32"/>
          <w:vertAlign w:val="baseline"/>
          <w:lang w:val="en-US" w:eastAsia="zh-CN" w:bidi="ar-SA"/>
        </w:rPr>
      </w:pPr>
      <w:r>
        <w:rPr>
          <w:rFonts w:hint="eastAsia" w:ascii="仿宋_GB2312" w:hAnsi="仿宋_GB2312" w:eastAsia="仿宋_GB2312" w:cs="仿宋_GB2312"/>
          <w:b w:val="0"/>
          <w:bCs w:val="0"/>
          <w:snapToGrid/>
          <w:color w:val="auto"/>
          <w:kern w:val="2"/>
          <w:sz w:val="32"/>
          <w:szCs w:val="32"/>
          <w:vertAlign w:val="baseline"/>
          <w:lang w:val="en-US" w:eastAsia="zh-CN" w:bidi="ar-SA"/>
        </w:rPr>
        <w:t>为掩盖尹某卫资金占用事实，2021年，</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b w:val="0"/>
          <w:bCs w:val="0"/>
          <w:snapToGrid/>
          <w:color w:val="auto"/>
          <w:kern w:val="2"/>
          <w:sz w:val="32"/>
          <w:szCs w:val="32"/>
          <w:vertAlign w:val="baseline"/>
          <w:lang w:val="en-US" w:eastAsia="zh-CN" w:bidi="ar-SA"/>
        </w:rPr>
        <w:t>ST岭南通过虚构工程施工成本并支付款项的方式虚构工程进度，导致当年虚增收入11,802,312.91元，虚增成本10,000,000元，虚增利润总额1,802,312.91元。</w:t>
      </w:r>
    </w:p>
    <w:p>
      <w:pPr>
        <w:keepNext w:val="0"/>
        <w:keepLines w:val="0"/>
        <w:pageBreakBefore w:val="0"/>
        <w:widowControl w:val="0"/>
        <w:numPr>
          <w:ilvl w:val="0"/>
          <w:numId w:val="0"/>
        </w:numPr>
        <w:kinsoku/>
        <w:wordWrap/>
        <w:overflowPunct w:val="0"/>
        <w:topLinePunct w:val="0"/>
        <w:autoSpaceDE/>
        <w:autoSpaceDN/>
        <w:bidi w:val="0"/>
        <w:adjustRightInd/>
        <w:snapToGrid w:val="0"/>
        <w:spacing w:before="0" w:beforeLines="0" w:afterLines="0" w:line="336" w:lineRule="auto"/>
        <w:ind w:firstLine="640" w:firstLineChars="200"/>
        <w:jc w:val="both"/>
        <w:textAlignment w:val="auto"/>
        <w:outlineLvl w:val="9"/>
        <w:rPr>
          <w:rFonts w:hint="eastAsia" w:ascii="仿宋_GB2312" w:hAnsi="仿宋_GB2312" w:eastAsia="仿宋_GB2312" w:cs="仿宋_GB2312"/>
          <w:b w:val="0"/>
          <w:bCs w:val="0"/>
          <w:color w:val="auto"/>
          <w:sz w:val="32"/>
          <w:szCs w:val="32"/>
          <w:vertAlign w:val="baseline"/>
          <w:lang w:val="en-US" w:eastAsia="zh-CN"/>
        </w:rPr>
      </w:pPr>
      <w:r>
        <w:rPr>
          <w:rFonts w:hint="eastAsia" w:ascii="仿宋_GB2312" w:hAnsi="仿宋_GB2312" w:eastAsia="仿宋_GB2312" w:cs="仿宋_GB2312"/>
          <w:b w:val="0"/>
          <w:bCs w:val="0"/>
          <w:snapToGrid/>
          <w:color w:val="auto"/>
          <w:kern w:val="2"/>
          <w:sz w:val="32"/>
          <w:szCs w:val="32"/>
          <w:vertAlign w:val="baseline"/>
          <w:lang w:val="en-US" w:eastAsia="zh-CN" w:bidi="ar-SA"/>
        </w:rPr>
        <w:t>上述两项违法事项导致</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b w:val="0"/>
          <w:bCs w:val="0"/>
          <w:snapToGrid/>
          <w:color w:val="auto"/>
          <w:kern w:val="2"/>
          <w:sz w:val="32"/>
          <w:szCs w:val="32"/>
          <w:vertAlign w:val="baseline"/>
          <w:lang w:val="en-US" w:eastAsia="zh-CN" w:bidi="ar-SA"/>
        </w:rPr>
        <w:t>ST岭南2021年虚增收入11,802,312.91元，占当期披露营业收入的0.25%，虚减利润总额75,274,991.63元，占当期披露利润总额的139.60%，2021年年度报告存在虚假记载。</w:t>
      </w:r>
    </w:p>
    <w:p>
      <w:pPr>
        <w:keepNext w:val="0"/>
        <w:keepLines w:val="0"/>
        <w:pageBreakBefore w:val="0"/>
        <w:widowControl w:val="0"/>
        <w:numPr>
          <w:ilvl w:val="0"/>
          <w:numId w:val="0"/>
        </w:numPr>
        <w:kinsoku/>
        <w:wordWrap/>
        <w:overflowPunct w:val="0"/>
        <w:topLinePunct w:val="0"/>
        <w:autoSpaceDE/>
        <w:autoSpaceDN/>
        <w:bidi w:val="0"/>
        <w:adjustRightInd/>
        <w:snapToGrid w:val="0"/>
        <w:spacing w:before="0" w:beforeLines="0" w:afterLines="0" w:line="336" w:lineRule="auto"/>
        <w:ind w:firstLine="640" w:firstLineChars="200"/>
        <w:jc w:val="left"/>
        <w:textAlignment w:val="auto"/>
        <w:outlineLvl w:val="9"/>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lang w:val="en-US" w:eastAsia="zh-CN"/>
        </w:rPr>
        <w:t>三、</w:t>
      </w:r>
      <w:r>
        <w:rPr>
          <w:rFonts w:hint="eastAsia" w:ascii="仿宋_GB2312" w:hAnsi="仿宋_GB2312" w:eastAsia="仿宋_GB2312" w:cs="仿宋_GB2312"/>
          <w:b w:val="0"/>
          <w:bCs w:val="0"/>
          <w:snapToGrid/>
          <w:color w:val="auto"/>
          <w:kern w:val="2"/>
          <w:sz w:val="32"/>
          <w:szCs w:val="32"/>
          <w:lang w:val="en-US" w:eastAsia="zh-CN" w:bidi="ar-SA"/>
        </w:rPr>
        <w:t>*</w:t>
      </w:r>
      <w:r>
        <w:rPr>
          <w:rFonts w:hint="eastAsia" w:ascii="黑体" w:hAnsi="黑体" w:eastAsia="黑体" w:cs="黑体"/>
          <w:b w:val="0"/>
          <w:bCs w:val="0"/>
          <w:snapToGrid/>
          <w:color w:val="auto"/>
          <w:kern w:val="2"/>
          <w:sz w:val="32"/>
          <w:szCs w:val="32"/>
          <w:lang w:val="en-US" w:eastAsia="zh-CN" w:bidi="ar-SA"/>
        </w:rPr>
        <w:t>ST</w:t>
      </w:r>
      <w:r>
        <w:rPr>
          <w:rFonts w:hint="eastAsia" w:ascii="黑体" w:hAnsi="黑体" w:eastAsia="黑体" w:cs="黑体"/>
          <w:b w:val="0"/>
          <w:bCs w:val="0"/>
          <w:color w:val="auto"/>
          <w:sz w:val="32"/>
          <w:szCs w:val="32"/>
          <w:lang w:val="en-US" w:eastAsia="zh-CN"/>
        </w:rPr>
        <w:t>岭南未按规定及时披露公司犯罪被立案调查、时任董事犯罪被采取强制措施</w:t>
      </w:r>
    </w:p>
    <w:p>
      <w:pPr>
        <w:keepNext w:val="0"/>
        <w:keepLines w:val="0"/>
        <w:pageBreakBefore w:val="0"/>
        <w:widowControl w:val="0"/>
        <w:numPr>
          <w:ilvl w:val="0"/>
          <w:numId w:val="0"/>
        </w:numPr>
        <w:kinsoku/>
        <w:wordWrap/>
        <w:overflowPunct w:val="0"/>
        <w:topLinePunct w:val="0"/>
        <w:autoSpaceDE/>
        <w:autoSpaceDN/>
        <w:bidi w:val="0"/>
        <w:adjustRightInd/>
        <w:snapToGrid w:val="0"/>
        <w:spacing w:before="0" w:beforeLines="0" w:afterLines="0" w:line="336" w:lineRule="auto"/>
        <w:ind w:firstLine="640" w:firstLineChars="200"/>
        <w:jc w:val="left"/>
        <w:textAlignment w:val="auto"/>
        <w:outlineLvl w:val="9"/>
        <w:rPr>
          <w:rFonts w:hint="eastAsia" w:ascii="仿宋_GB2312" w:hAnsi="仿宋_GB2312" w:eastAsia="仿宋_GB2312" w:cs="仿宋_GB2312"/>
          <w:b w:val="0"/>
          <w:bCs w:val="0"/>
          <w:color w:val="auto"/>
          <w:sz w:val="32"/>
          <w:szCs w:val="32"/>
          <w:vertAlign w:val="baseline"/>
        </w:rPr>
      </w:pPr>
      <w:r>
        <w:rPr>
          <w:rFonts w:hint="eastAsia" w:ascii="仿宋_GB2312" w:hAnsi="仿宋_GB2312" w:eastAsia="仿宋_GB2312" w:cs="仿宋_GB2312"/>
          <w:b w:val="0"/>
          <w:bCs w:val="0"/>
          <w:color w:val="auto"/>
          <w:sz w:val="32"/>
          <w:szCs w:val="32"/>
          <w:vertAlign w:val="baseline"/>
        </w:rPr>
        <w:t>2024年12月2</w:t>
      </w:r>
      <w:r>
        <w:rPr>
          <w:rFonts w:hint="eastAsia" w:ascii="仿宋_GB2312" w:hAnsi="仿宋_GB2312" w:eastAsia="仿宋_GB2312" w:cs="仿宋_GB2312"/>
          <w:b w:val="0"/>
          <w:bCs w:val="0"/>
          <w:color w:val="auto"/>
          <w:sz w:val="32"/>
          <w:szCs w:val="32"/>
          <w:vertAlign w:val="baseline"/>
          <w:lang w:val="en-US" w:eastAsia="zh-CN"/>
        </w:rPr>
        <w:t>5</w:t>
      </w:r>
      <w:r>
        <w:rPr>
          <w:rFonts w:hint="eastAsia" w:ascii="仿宋_GB2312" w:hAnsi="仿宋_GB2312" w:eastAsia="仿宋_GB2312" w:cs="仿宋_GB2312"/>
          <w:b w:val="0"/>
          <w:bCs w:val="0"/>
          <w:color w:val="auto"/>
          <w:sz w:val="32"/>
          <w:szCs w:val="32"/>
          <w:vertAlign w:val="baseline"/>
        </w:rPr>
        <w:t>日</w:t>
      </w:r>
      <w:r>
        <w:rPr>
          <w:rFonts w:hint="eastAsia" w:ascii="仿宋_GB2312" w:hAnsi="仿宋_GB2312" w:eastAsia="仿宋_GB2312" w:cs="仿宋_GB2312"/>
          <w:b w:val="0"/>
          <w:bCs w:val="0"/>
          <w:color w:val="auto"/>
          <w:sz w:val="32"/>
          <w:szCs w:val="32"/>
          <w:vertAlign w:val="baseline"/>
          <w:lang w:eastAsia="zh-CN"/>
        </w:rPr>
        <w:t>，</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b w:val="0"/>
          <w:bCs w:val="0"/>
          <w:color w:val="auto"/>
          <w:sz w:val="32"/>
          <w:szCs w:val="32"/>
          <w:vertAlign w:val="baseline"/>
          <w:lang w:val="en-US" w:eastAsia="zh-CN"/>
        </w:rPr>
        <w:t>ST岭南</w:t>
      </w:r>
      <w:r>
        <w:rPr>
          <w:rFonts w:hint="eastAsia" w:ascii="仿宋_GB2312" w:hAnsi="仿宋_GB2312" w:eastAsia="仿宋_GB2312" w:cs="仿宋_GB2312"/>
          <w:b w:val="0"/>
          <w:bCs w:val="0"/>
          <w:color w:val="auto"/>
          <w:sz w:val="32"/>
          <w:szCs w:val="32"/>
          <w:vertAlign w:val="baseline"/>
          <w:lang w:eastAsia="zh-CN"/>
        </w:rPr>
        <w:t>收到河南省</w:t>
      </w:r>
      <w:r>
        <w:rPr>
          <w:rFonts w:hint="eastAsia" w:ascii="仿宋_GB2312" w:hAnsi="仿宋_GB2312" w:eastAsia="仿宋_GB2312" w:cs="仿宋_GB2312"/>
          <w:b w:val="0"/>
          <w:bCs w:val="0"/>
          <w:color w:val="auto"/>
          <w:sz w:val="32"/>
          <w:szCs w:val="32"/>
          <w:vertAlign w:val="baseline"/>
        </w:rPr>
        <w:t>汤阴县公安局《调取证据通知书》</w:t>
      </w:r>
      <w:r>
        <w:rPr>
          <w:rFonts w:hint="eastAsia" w:ascii="仿宋_GB2312" w:hAnsi="仿宋_GB2312" w:eastAsia="仿宋_GB2312" w:cs="仿宋_GB2312"/>
          <w:b w:val="0"/>
          <w:bCs w:val="0"/>
          <w:color w:val="auto"/>
          <w:sz w:val="32"/>
          <w:szCs w:val="32"/>
          <w:vertAlign w:val="baseline"/>
          <w:lang w:eastAsia="zh-CN"/>
        </w:rPr>
        <w:t>，载明公安局就侦办公司串通投标案需向公司调取证据。</w:t>
      </w:r>
      <w:r>
        <w:rPr>
          <w:rFonts w:hint="eastAsia" w:ascii="仿宋_GB2312" w:hAnsi="仿宋_GB2312" w:eastAsia="仿宋_GB2312" w:cs="仿宋_GB2312"/>
          <w:b w:val="0"/>
          <w:bCs w:val="0"/>
          <w:color w:val="auto"/>
          <w:sz w:val="32"/>
          <w:szCs w:val="32"/>
          <w:vertAlign w:val="baseline"/>
          <w:lang w:val="en-US" w:eastAsia="zh-CN"/>
        </w:rPr>
        <w:t>2025年1月16日，</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b w:val="0"/>
          <w:bCs w:val="0"/>
          <w:color w:val="auto"/>
          <w:sz w:val="32"/>
          <w:szCs w:val="32"/>
          <w:vertAlign w:val="baseline"/>
          <w:lang w:val="en-US" w:eastAsia="zh-CN"/>
        </w:rPr>
        <w:t>ST岭南收到</w:t>
      </w:r>
      <w:r>
        <w:rPr>
          <w:rFonts w:hint="eastAsia" w:ascii="仿宋_GB2312" w:hAnsi="仿宋_GB2312" w:eastAsia="仿宋_GB2312" w:cs="仿宋_GB2312"/>
          <w:b w:val="0"/>
          <w:bCs w:val="0"/>
          <w:color w:val="auto"/>
          <w:sz w:val="32"/>
          <w:szCs w:val="32"/>
          <w:vertAlign w:val="baseline"/>
          <w:lang w:eastAsia="zh-CN"/>
        </w:rPr>
        <w:t>河南省</w:t>
      </w:r>
      <w:r>
        <w:rPr>
          <w:rFonts w:hint="eastAsia" w:ascii="仿宋_GB2312" w:hAnsi="仿宋_GB2312" w:eastAsia="仿宋_GB2312" w:cs="仿宋_GB2312"/>
          <w:b w:val="0"/>
          <w:bCs w:val="0"/>
          <w:color w:val="auto"/>
          <w:sz w:val="32"/>
          <w:szCs w:val="32"/>
          <w:vertAlign w:val="baseline"/>
          <w:lang w:val="en-US" w:eastAsia="zh-CN"/>
        </w:rPr>
        <w:t>汤阴县公安局《移送起诉告知书》，载明公司串通</w:t>
      </w:r>
      <w:r>
        <w:rPr>
          <w:rFonts w:hint="eastAsia" w:ascii="仿宋_GB2312" w:hAnsi="仿宋_GB2312" w:eastAsia="仿宋_GB2312" w:cs="仿宋_GB2312"/>
          <w:b w:val="0"/>
          <w:bCs w:val="0"/>
          <w:color w:val="auto"/>
          <w:sz w:val="32"/>
          <w:szCs w:val="32"/>
          <w:highlight w:val="none"/>
          <w:vertAlign w:val="baseline"/>
          <w:lang w:val="en-US" w:eastAsia="zh-CN"/>
        </w:rPr>
        <w:t>投标</w:t>
      </w:r>
      <w:r>
        <w:rPr>
          <w:rFonts w:hint="eastAsia" w:ascii="仿宋_GB2312" w:hAnsi="仿宋_GB2312" w:eastAsia="仿宋_GB2312" w:cs="仿宋_GB2312"/>
          <w:b w:val="0"/>
          <w:bCs w:val="0"/>
          <w:color w:val="auto"/>
          <w:sz w:val="32"/>
          <w:szCs w:val="32"/>
          <w:vertAlign w:val="baseline"/>
          <w:lang w:val="en-US" w:eastAsia="zh-CN"/>
        </w:rPr>
        <w:t>案已侦查终结，移送汤阴县人民检察院审查起诉。</w:t>
      </w:r>
      <w:r>
        <w:rPr>
          <w:rFonts w:hint="eastAsia" w:ascii="仿宋_GB2312" w:hAnsi="仿宋_GB2312" w:eastAsia="仿宋_GB2312" w:cs="仿宋_GB2312"/>
          <w:b w:val="0"/>
          <w:bCs w:val="0"/>
          <w:color w:val="auto"/>
          <w:sz w:val="32"/>
          <w:szCs w:val="32"/>
          <w:highlight w:val="none"/>
          <w:vertAlign w:val="baseline"/>
          <w:lang w:val="en-US" w:eastAsia="zh-CN"/>
        </w:rPr>
        <w:t>2025年10月23日，</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b w:val="0"/>
          <w:bCs w:val="0"/>
          <w:color w:val="auto"/>
          <w:sz w:val="32"/>
          <w:szCs w:val="32"/>
          <w:vertAlign w:val="baseline"/>
          <w:lang w:val="en-US" w:eastAsia="zh-CN"/>
        </w:rPr>
        <w:t>ST岭南收到汤阴县人民法院上述案件的开庭传票。</w:t>
      </w:r>
      <w:r>
        <w:rPr>
          <w:rFonts w:hint="eastAsia" w:ascii="仿宋_GB2312" w:hAnsi="仿宋_GB2312" w:eastAsia="仿宋_GB2312" w:cs="仿宋_GB2312"/>
          <w:b w:val="0"/>
          <w:bCs w:val="0"/>
          <w:color w:val="auto"/>
          <w:sz w:val="32"/>
          <w:szCs w:val="32"/>
          <w:vertAlign w:val="baseline"/>
        </w:rPr>
        <w:t>同时，公司时任董事、副总裁</w:t>
      </w:r>
      <w:r>
        <w:rPr>
          <w:rFonts w:hint="eastAsia" w:ascii="仿宋_GB2312" w:hAnsi="仿宋_GB2312" w:eastAsia="仿宋_GB2312" w:cs="仿宋_GB2312"/>
          <w:b w:val="0"/>
          <w:bCs w:val="0"/>
          <w:color w:val="auto"/>
          <w:sz w:val="32"/>
          <w:szCs w:val="32"/>
          <w:vertAlign w:val="baseline"/>
          <w:lang w:eastAsia="zh-CN"/>
        </w:rPr>
        <w:t>何某锋</w:t>
      </w:r>
      <w:r>
        <w:rPr>
          <w:rFonts w:hint="eastAsia" w:ascii="仿宋_GB2312" w:hAnsi="仿宋_GB2312" w:eastAsia="仿宋_GB2312" w:cs="仿宋_GB2312"/>
          <w:b w:val="0"/>
          <w:bCs w:val="0"/>
          <w:color w:val="auto"/>
          <w:sz w:val="32"/>
          <w:szCs w:val="32"/>
          <w:vertAlign w:val="baseline"/>
        </w:rPr>
        <w:t>因</w:t>
      </w:r>
      <w:r>
        <w:rPr>
          <w:rFonts w:hint="eastAsia" w:ascii="仿宋_GB2312" w:hAnsi="仿宋_GB2312" w:eastAsia="仿宋_GB2312" w:cs="仿宋_GB2312"/>
          <w:b w:val="0"/>
          <w:bCs w:val="0"/>
          <w:color w:val="auto"/>
          <w:sz w:val="32"/>
          <w:szCs w:val="32"/>
          <w:vertAlign w:val="baseline"/>
          <w:lang w:eastAsia="zh-CN"/>
        </w:rPr>
        <w:t>公司</w:t>
      </w:r>
      <w:r>
        <w:rPr>
          <w:rFonts w:hint="eastAsia" w:ascii="仿宋_GB2312" w:hAnsi="仿宋_GB2312" w:eastAsia="仿宋_GB2312" w:cs="仿宋_GB2312"/>
          <w:b w:val="0"/>
          <w:bCs w:val="0"/>
          <w:color w:val="auto"/>
          <w:sz w:val="32"/>
          <w:szCs w:val="32"/>
          <w:vertAlign w:val="baseline"/>
        </w:rPr>
        <w:t>串通投标</w:t>
      </w:r>
      <w:r>
        <w:rPr>
          <w:rFonts w:hint="eastAsia" w:ascii="仿宋_GB2312" w:hAnsi="仿宋_GB2312" w:eastAsia="仿宋_GB2312" w:cs="仿宋_GB2312"/>
          <w:b w:val="0"/>
          <w:bCs w:val="0"/>
          <w:color w:val="auto"/>
          <w:sz w:val="32"/>
          <w:szCs w:val="32"/>
          <w:vertAlign w:val="baseline"/>
          <w:lang w:eastAsia="zh-CN"/>
        </w:rPr>
        <w:t>案</w:t>
      </w:r>
      <w:r>
        <w:rPr>
          <w:rFonts w:hint="eastAsia" w:ascii="仿宋_GB2312" w:hAnsi="仿宋_GB2312" w:eastAsia="仿宋_GB2312" w:cs="仿宋_GB2312"/>
          <w:b w:val="0"/>
          <w:bCs w:val="0"/>
          <w:color w:val="auto"/>
          <w:sz w:val="32"/>
          <w:szCs w:val="32"/>
          <w:vertAlign w:val="baseline"/>
        </w:rPr>
        <w:t>于2025年2月13日、8月18日被</w:t>
      </w:r>
      <w:r>
        <w:rPr>
          <w:rFonts w:hint="eastAsia" w:ascii="仿宋_GB2312" w:hAnsi="仿宋_GB2312" w:eastAsia="仿宋_GB2312" w:cs="仿宋_GB2312"/>
          <w:b w:val="0"/>
          <w:bCs w:val="0"/>
          <w:color w:val="auto"/>
          <w:sz w:val="32"/>
          <w:szCs w:val="32"/>
          <w:vertAlign w:val="baseline"/>
          <w:lang w:eastAsia="zh-CN"/>
        </w:rPr>
        <w:t>继续</w:t>
      </w:r>
      <w:r>
        <w:rPr>
          <w:rFonts w:hint="eastAsia" w:ascii="仿宋_GB2312" w:hAnsi="仿宋_GB2312" w:eastAsia="仿宋_GB2312" w:cs="仿宋_GB2312"/>
          <w:b w:val="0"/>
          <w:bCs w:val="0"/>
          <w:color w:val="auto"/>
          <w:sz w:val="32"/>
          <w:szCs w:val="32"/>
          <w:vertAlign w:val="baseline"/>
        </w:rPr>
        <w:t>采取取保候审的刑事强制措施</w:t>
      </w:r>
      <w:r>
        <w:rPr>
          <w:rFonts w:hint="eastAsia" w:ascii="仿宋_GB2312" w:hAnsi="仿宋_GB2312" w:eastAsia="仿宋_GB2312" w:cs="仿宋_GB2312"/>
          <w:b w:val="0"/>
          <w:bCs w:val="0"/>
          <w:color w:val="auto"/>
          <w:sz w:val="32"/>
          <w:szCs w:val="32"/>
          <w:vertAlign w:val="baseline"/>
          <w:lang w:eastAsia="zh-CN"/>
        </w:rPr>
        <w:t>。根据《证券法》第八十条第一款、第二款第十一项的规定，</w:t>
      </w:r>
      <w:r>
        <w:rPr>
          <w:rFonts w:hint="eastAsia" w:ascii="仿宋_GB2312" w:hAnsi="仿宋_GB2312" w:eastAsia="仿宋_GB2312" w:cs="仿宋_GB2312"/>
          <w:b w:val="0"/>
          <w:bCs w:val="0"/>
          <w:color w:val="auto"/>
          <w:sz w:val="32"/>
          <w:szCs w:val="32"/>
          <w:vertAlign w:val="baseline"/>
          <w:lang w:val="en-US" w:eastAsia="zh-CN"/>
        </w:rPr>
        <w:t>公司应当及时披露涉嫌犯罪被立案调查，时任董事涉嫌犯罪被采取强制措施的情况，</w:t>
      </w:r>
      <w:r>
        <w:rPr>
          <w:rFonts w:hint="eastAsia" w:ascii="仿宋_GB2312" w:hAnsi="仿宋_GB2312" w:eastAsia="仿宋_GB2312" w:cs="仿宋_GB2312"/>
          <w:b w:val="0"/>
          <w:bCs w:val="0"/>
          <w:color w:val="auto"/>
          <w:sz w:val="32"/>
          <w:szCs w:val="32"/>
          <w:vertAlign w:val="baseline"/>
        </w:rPr>
        <w:t>但公司未及时履行信息披露义务，直至2025年11月5日才披露</w:t>
      </w:r>
      <w:r>
        <w:rPr>
          <w:rFonts w:hint="eastAsia" w:ascii="仿宋_GB2312" w:hAnsi="仿宋_GB2312" w:eastAsia="仿宋_GB2312" w:cs="仿宋_GB2312"/>
          <w:b w:val="0"/>
          <w:bCs w:val="0"/>
          <w:color w:val="auto"/>
          <w:sz w:val="32"/>
          <w:szCs w:val="32"/>
          <w:vertAlign w:val="baseline"/>
          <w:lang w:eastAsia="zh-CN"/>
        </w:rPr>
        <w:t>公司</w:t>
      </w:r>
      <w:r>
        <w:rPr>
          <w:rFonts w:hint="eastAsia" w:ascii="仿宋_GB2312" w:hAnsi="仿宋_GB2312" w:eastAsia="仿宋_GB2312" w:cs="仿宋_GB2312"/>
          <w:b w:val="0"/>
          <w:bCs w:val="0"/>
          <w:color w:val="auto"/>
          <w:sz w:val="32"/>
          <w:szCs w:val="32"/>
          <w:vertAlign w:val="baseline"/>
        </w:rPr>
        <w:t>涉嫌串通投标罪</w:t>
      </w:r>
      <w:r>
        <w:rPr>
          <w:rFonts w:hint="eastAsia" w:ascii="仿宋_GB2312" w:hAnsi="仿宋_GB2312" w:eastAsia="仿宋_GB2312" w:cs="仿宋_GB2312"/>
          <w:b w:val="0"/>
          <w:bCs w:val="0"/>
          <w:color w:val="auto"/>
          <w:sz w:val="32"/>
          <w:szCs w:val="32"/>
          <w:vertAlign w:val="baseline"/>
          <w:lang w:eastAsia="zh-CN"/>
        </w:rPr>
        <w:t>被起诉相关</w:t>
      </w:r>
      <w:r>
        <w:rPr>
          <w:rFonts w:hint="eastAsia" w:ascii="仿宋_GB2312" w:hAnsi="仿宋_GB2312" w:eastAsia="仿宋_GB2312" w:cs="仿宋_GB2312"/>
          <w:b w:val="0"/>
          <w:bCs w:val="0"/>
          <w:color w:val="auto"/>
          <w:sz w:val="32"/>
          <w:szCs w:val="32"/>
          <w:vertAlign w:val="baseline"/>
        </w:rPr>
        <w:t>情况。</w:t>
      </w:r>
    </w:p>
    <w:p>
      <w:pPr>
        <w:keepNext w:val="0"/>
        <w:keepLines w:val="0"/>
        <w:pageBreakBefore w:val="0"/>
        <w:widowControl w:val="0"/>
        <w:tabs>
          <w:tab w:val="left" w:pos="46"/>
        </w:tabs>
        <w:kinsoku/>
        <w:wordWrap/>
        <w:overflowPunct w:val="0"/>
        <w:topLinePunct w:val="0"/>
        <w:autoSpaceDE/>
        <w:autoSpaceDN/>
        <w:bidi w:val="0"/>
        <w:adjustRightInd/>
        <w:snapToGrid w:val="0"/>
        <w:spacing w:before="0" w:beforeLines="0" w:after="0" w:afterLines="0"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vertAlign w:val="baseline"/>
          <w:lang w:val="en-US" w:eastAsia="zh-CN"/>
        </w:rPr>
      </w:pPr>
      <w:r>
        <w:rPr>
          <w:rFonts w:hint="eastAsia" w:ascii="仿宋_GB2312" w:hAnsi="仿宋_GB2312" w:eastAsia="仿宋_GB2312" w:cs="仿宋_GB2312"/>
          <w:color w:val="auto"/>
          <w:kern w:val="0"/>
          <w:sz w:val="32"/>
          <w:szCs w:val="32"/>
          <w:vertAlign w:val="baseline"/>
          <w:lang w:val="en-US" w:eastAsia="zh-CN"/>
        </w:rPr>
        <w:t>上述违法事实，有公司相关公告、定期报告、相关银行账户资金流水、记账凭证及原始凭证、司法文书、情况说明、询问笔录等证据证明，足以认定。</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val="0"/>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sz w:val="32"/>
          <w:szCs w:val="32"/>
          <w:vertAlign w:val="baseline"/>
          <w:lang w:val="en-US" w:eastAsia="zh-CN"/>
        </w:rPr>
        <w:t>ST岭南未按规定及时披露</w:t>
      </w:r>
      <w:r>
        <w:rPr>
          <w:rFonts w:hint="eastAsia" w:ascii="仿宋_GB2312" w:hAnsi="仿宋_GB2312" w:eastAsia="仿宋_GB2312" w:cs="仿宋_GB2312"/>
          <w:b w:val="0"/>
          <w:bCs w:val="0"/>
          <w:snapToGrid/>
          <w:color w:val="auto"/>
          <w:kern w:val="2"/>
          <w:sz w:val="32"/>
          <w:szCs w:val="32"/>
          <w:highlight w:val="none"/>
          <w:vertAlign w:val="baseline"/>
          <w:lang w:val="en-US" w:eastAsia="zh-CN" w:bidi="ar-SA"/>
        </w:rPr>
        <w:t>资金占用形成的关联交易，未按规定及时</w:t>
      </w:r>
      <w:r>
        <w:rPr>
          <w:rFonts w:hint="eastAsia" w:ascii="仿宋_GB2312" w:hAnsi="仿宋_GB2312" w:eastAsia="仿宋_GB2312" w:cs="仿宋_GB2312"/>
          <w:b w:val="0"/>
          <w:bCs w:val="0"/>
          <w:snapToGrid/>
          <w:color w:val="auto"/>
          <w:kern w:val="0"/>
          <w:sz w:val="32"/>
          <w:szCs w:val="32"/>
          <w:highlight w:val="none"/>
          <w:vertAlign w:val="baseline"/>
          <w:lang w:val="en-US" w:eastAsia="zh-CN" w:bidi="ar-SA"/>
        </w:rPr>
        <w:t>披露</w:t>
      </w:r>
      <w:r>
        <w:rPr>
          <w:rFonts w:hint="eastAsia" w:ascii="仿宋_GB2312" w:hAnsi="仿宋_GB2312" w:eastAsia="仿宋_GB2312" w:cs="仿宋_GB2312"/>
          <w:b w:val="0"/>
          <w:bCs w:val="0"/>
          <w:color w:val="auto"/>
          <w:kern w:val="0"/>
          <w:sz w:val="32"/>
          <w:szCs w:val="32"/>
          <w:vertAlign w:val="baseline"/>
          <w:lang w:val="en-US" w:eastAsia="zh-CN"/>
        </w:rPr>
        <w:t>公司涉嫌犯罪被立案调查、时任董事涉嫌犯罪被采取强制措施的行为</w:t>
      </w:r>
      <w:r>
        <w:rPr>
          <w:rFonts w:hint="eastAsia" w:ascii="仿宋_GB2312" w:hAnsi="仿宋_GB2312" w:eastAsia="仿宋_GB2312" w:cs="仿宋_GB2312"/>
          <w:color w:val="auto"/>
          <w:sz w:val="32"/>
          <w:szCs w:val="32"/>
          <w:vertAlign w:val="baseline"/>
          <w:lang w:val="en-US" w:eastAsia="zh-CN"/>
        </w:rPr>
        <w:t>违反《证券法》第七十八条第一款的规定，</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sz w:val="32"/>
          <w:szCs w:val="32"/>
          <w:vertAlign w:val="baseline"/>
          <w:lang w:val="en-US" w:eastAsia="zh-CN"/>
        </w:rPr>
        <w:t>ST岭南2021年年度报告存在虚假记载、重大遗漏违反《证券法》第七十八条第二款的规定，分别构成《证券法》第一百九十七条第一款、第二款所述违法行为。</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仿宋_GB2312"/>
          <w:b w:val="0"/>
          <w:bCs w:val="0"/>
          <w:color w:val="auto"/>
          <w:kern w:val="2"/>
          <w:sz w:val="32"/>
          <w:szCs w:val="32"/>
          <w:highlight w:val="none"/>
          <w:vertAlign w:val="baseline"/>
          <w:lang w:val="en" w:eastAsia="zh-CN" w:bidi="ar-SA"/>
        </w:rPr>
      </w:pP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highlight w:val="none"/>
          <w:vertAlign w:val="baseline"/>
          <w:lang w:val="en-US" w:eastAsia="zh-CN"/>
        </w:rPr>
        <w:t>ST</w:t>
      </w:r>
      <w:r>
        <w:rPr>
          <w:rFonts w:hint="eastAsia" w:ascii="仿宋_GB2312" w:hAnsi="仿宋_GB2312" w:eastAsia="仿宋_GB2312" w:cs="仿宋_GB2312"/>
          <w:color w:val="auto"/>
          <w:kern w:val="0"/>
          <w:sz w:val="32"/>
          <w:szCs w:val="32"/>
          <w:vertAlign w:val="baseline"/>
          <w:lang w:val="en-US" w:eastAsia="zh-CN"/>
        </w:rPr>
        <w:t>岭南</w:t>
      </w:r>
      <w:r>
        <w:rPr>
          <w:rFonts w:hint="eastAsia" w:ascii="仿宋_GB2312" w:hAnsi="仿宋_GB2312" w:eastAsia="仿宋_GB2312" w:cs="仿宋_GB2312"/>
          <w:color w:val="auto"/>
          <w:kern w:val="0"/>
          <w:sz w:val="32"/>
          <w:szCs w:val="32"/>
          <w:vertAlign w:val="baseline"/>
          <w:lang w:val="en" w:eastAsia="zh-CN"/>
        </w:rPr>
        <w:t>涉案期间有关董事、高级管理人员违反了《证券法》第八十二条第三款的规定，构成《证券法》第一百九十七条第一款、第二款所述“直接负责的主管人员和其他直接责任人员”。其中，尹某卫作为时任董事长、联席董事长、</w:t>
      </w:r>
      <w:r>
        <w:rPr>
          <w:rFonts w:hint="eastAsia" w:ascii="仿宋_GB2312" w:hAnsi="仿宋_GB2312" w:eastAsia="仿宋_GB2312" w:cs="仿宋_GB2312"/>
          <w:color w:val="auto"/>
          <w:kern w:val="0"/>
          <w:sz w:val="32"/>
          <w:szCs w:val="32"/>
          <w:highlight w:val="none"/>
          <w:vertAlign w:val="baseline"/>
          <w:lang w:val="en" w:eastAsia="zh-CN"/>
        </w:rPr>
        <w:t>总裁</w:t>
      </w:r>
      <w:r>
        <w:rPr>
          <w:rFonts w:hint="eastAsia" w:ascii="仿宋_GB2312" w:hAnsi="仿宋_GB2312" w:eastAsia="仿宋_GB2312" w:cs="仿宋_GB2312"/>
          <w:b w:val="0"/>
          <w:bCs w:val="0"/>
          <w:color w:val="auto"/>
          <w:sz w:val="32"/>
          <w:szCs w:val="32"/>
          <w:vertAlign w:val="baseline"/>
        </w:rPr>
        <w:t>，</w:t>
      </w:r>
      <w:r>
        <w:rPr>
          <w:rFonts w:hint="eastAsia" w:ascii="仿宋_GB2312" w:hAnsi="仿宋_GB2312" w:eastAsia="仿宋_GB2312" w:cs="仿宋_GB2312"/>
          <w:b w:val="0"/>
          <w:bCs w:val="0"/>
          <w:color w:val="auto"/>
          <w:sz w:val="32"/>
          <w:szCs w:val="32"/>
          <w:vertAlign w:val="baseline"/>
          <w:lang w:eastAsia="zh-CN"/>
        </w:rPr>
        <w:t>安排、实施</w:t>
      </w:r>
      <w:r>
        <w:rPr>
          <w:rFonts w:hint="eastAsia" w:ascii="仿宋_GB2312" w:hAnsi="仿宋_GB2312" w:eastAsia="仿宋_GB2312" w:cs="仿宋_GB2312"/>
          <w:b w:val="0"/>
          <w:bCs w:val="0"/>
          <w:color w:val="auto"/>
          <w:sz w:val="32"/>
          <w:szCs w:val="32"/>
          <w:vertAlign w:val="baseline"/>
        </w:rPr>
        <w:t>上述</w:t>
      </w:r>
      <w:r>
        <w:rPr>
          <w:rFonts w:hint="eastAsia" w:ascii="仿宋_GB2312" w:hAnsi="仿宋_GB2312" w:eastAsia="仿宋_GB2312" w:cs="仿宋_GB2312"/>
          <w:b w:val="0"/>
          <w:bCs w:val="0"/>
          <w:color w:val="auto"/>
          <w:sz w:val="32"/>
          <w:szCs w:val="32"/>
          <w:vertAlign w:val="baseline"/>
          <w:lang w:eastAsia="zh-CN"/>
        </w:rPr>
        <w:t>资金占用事项和虚构苗木采购业务，知悉公司</w:t>
      </w:r>
      <w:r>
        <w:rPr>
          <w:rFonts w:hint="eastAsia" w:ascii="仿宋_GB2312" w:hAnsi="仿宋_GB2312" w:eastAsia="仿宋_GB2312" w:cs="仿宋_GB2312"/>
          <w:b w:val="0"/>
          <w:bCs w:val="0"/>
          <w:color w:val="auto"/>
          <w:kern w:val="0"/>
          <w:sz w:val="32"/>
          <w:szCs w:val="32"/>
          <w:vertAlign w:val="baseline"/>
          <w:lang w:val="en-US" w:eastAsia="zh-CN"/>
        </w:rPr>
        <w:t>涉嫌犯罪被立案调查、时任董事涉嫌犯罪被采取强制措施，但未组织公司披露，</w:t>
      </w:r>
      <w:r>
        <w:rPr>
          <w:rFonts w:hint="eastAsia" w:ascii="仿宋_GB2312" w:hAnsi="仿宋_GB2312" w:eastAsia="仿宋_GB2312" w:cs="仿宋_GB2312"/>
          <w:color w:val="auto"/>
          <w:kern w:val="0"/>
          <w:sz w:val="32"/>
          <w:szCs w:val="32"/>
          <w:highlight w:val="none"/>
          <w:vertAlign w:val="baseline"/>
          <w:lang w:val="en-US" w:eastAsia="zh-CN"/>
        </w:rPr>
        <w:t>是对</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highlight w:val="none"/>
          <w:vertAlign w:val="baseline"/>
          <w:lang w:val="en-US" w:eastAsia="zh-CN"/>
        </w:rPr>
        <w:t>ST岭南上述违法行为</w:t>
      </w:r>
      <w:r>
        <w:rPr>
          <w:rFonts w:hint="eastAsia" w:ascii="仿宋_GB2312" w:hAnsi="仿宋_GB2312" w:eastAsia="仿宋_GB2312" w:cs="仿宋_GB2312"/>
          <w:b w:val="0"/>
          <w:bCs w:val="0"/>
          <w:color w:val="auto"/>
          <w:kern w:val="2"/>
          <w:sz w:val="32"/>
          <w:szCs w:val="32"/>
          <w:highlight w:val="none"/>
          <w:vertAlign w:val="baseline"/>
          <w:lang w:val="en" w:eastAsia="zh-CN" w:bidi="ar-SA"/>
        </w:rPr>
        <w:t>直接负责的主管人员。</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仿宋_GB2312"/>
          <w:b w:val="0"/>
          <w:bCs w:val="0"/>
          <w:color w:val="auto"/>
          <w:kern w:val="2"/>
          <w:sz w:val="32"/>
          <w:szCs w:val="32"/>
          <w:highlight w:val="none"/>
          <w:vertAlign w:val="baseline"/>
          <w:lang w:val="en" w:eastAsia="zh-CN" w:bidi="ar-SA"/>
        </w:rPr>
      </w:pPr>
      <w:r>
        <w:rPr>
          <w:rFonts w:hint="eastAsia" w:ascii="仿宋_GB2312" w:hAnsi="仿宋_GB2312" w:eastAsia="仿宋_GB2312" w:cs="仿宋_GB2312"/>
          <w:color w:val="auto"/>
          <w:sz w:val="32"/>
          <w:szCs w:val="32"/>
          <w:vertAlign w:val="baseline"/>
          <w:lang w:eastAsia="zh-CN"/>
        </w:rPr>
        <w:t>刘某平作为</w:t>
      </w:r>
      <w:r>
        <w:rPr>
          <w:rFonts w:hint="eastAsia" w:ascii="仿宋_GB2312" w:hAnsi="仿宋_GB2312" w:eastAsia="仿宋_GB2312" w:cs="仿宋_GB2312"/>
          <w:color w:val="auto"/>
          <w:kern w:val="0"/>
          <w:sz w:val="32"/>
          <w:szCs w:val="32"/>
          <w:vertAlign w:val="baseline"/>
          <w:lang w:val="en" w:eastAsia="zh-CN"/>
        </w:rPr>
        <w:t>时任副总裁、</w:t>
      </w:r>
      <w:r>
        <w:rPr>
          <w:rFonts w:hint="eastAsia" w:ascii="仿宋_GB2312" w:hAnsi="仿宋_GB2312" w:eastAsia="仿宋_GB2312" w:cs="仿宋_GB2312"/>
          <w:color w:val="auto"/>
          <w:sz w:val="32"/>
          <w:szCs w:val="32"/>
          <w:vertAlign w:val="baseline"/>
        </w:rPr>
        <w:t>财务总监</w:t>
      </w:r>
      <w:r>
        <w:rPr>
          <w:rFonts w:hint="eastAsia" w:ascii="仿宋_GB2312" w:hAnsi="仿宋_GB2312" w:eastAsia="仿宋_GB2312" w:cs="仿宋_GB2312"/>
          <w:color w:val="auto"/>
          <w:kern w:val="0"/>
          <w:sz w:val="32"/>
          <w:szCs w:val="32"/>
          <w:vertAlign w:val="baseline"/>
          <w:lang w:val="en" w:eastAsia="zh-CN"/>
        </w:rPr>
        <w:t>，</w:t>
      </w:r>
      <w:r>
        <w:rPr>
          <w:rFonts w:hint="eastAsia" w:ascii="仿宋_GB2312" w:hAnsi="仿宋_GB2312" w:eastAsia="仿宋_GB2312" w:cs="仿宋_GB2312"/>
          <w:color w:val="auto"/>
          <w:sz w:val="32"/>
          <w:szCs w:val="32"/>
          <w:vertAlign w:val="baseline"/>
          <w:lang w:eastAsia="zh-CN"/>
        </w:rPr>
        <w:t>知悉并参与实施相关虚构业务以及资金占用事项，</w:t>
      </w:r>
      <w:r>
        <w:rPr>
          <w:rFonts w:hint="eastAsia" w:ascii="仿宋_GB2312" w:hAnsi="仿宋_GB2312" w:eastAsia="仿宋_GB2312" w:cs="仿宋_GB2312"/>
          <w:color w:val="auto"/>
          <w:kern w:val="0"/>
          <w:sz w:val="32"/>
          <w:szCs w:val="32"/>
          <w:highlight w:val="none"/>
          <w:vertAlign w:val="baseline"/>
          <w:lang w:val="en-US" w:eastAsia="zh-CN"/>
        </w:rPr>
        <w:t>是对</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highlight w:val="none"/>
          <w:vertAlign w:val="baseline"/>
          <w:lang w:val="en-US" w:eastAsia="zh-CN"/>
        </w:rPr>
        <w:t>ST岭南未按规定及时披露资金占用</w:t>
      </w:r>
      <w:r>
        <w:rPr>
          <w:rFonts w:hint="eastAsia" w:ascii="仿宋_GB2312" w:hAnsi="仿宋_GB2312" w:eastAsia="仿宋_GB2312" w:cs="仿宋_GB2312"/>
          <w:b w:val="0"/>
          <w:bCs w:val="0"/>
          <w:snapToGrid/>
          <w:color w:val="auto"/>
          <w:kern w:val="2"/>
          <w:sz w:val="32"/>
          <w:szCs w:val="32"/>
          <w:highlight w:val="none"/>
          <w:vertAlign w:val="baseline"/>
          <w:lang w:val="en-US" w:eastAsia="zh-CN" w:bidi="ar-SA"/>
        </w:rPr>
        <w:t>形成的关联交易</w:t>
      </w:r>
      <w:r>
        <w:rPr>
          <w:rFonts w:hint="eastAsia" w:ascii="仿宋_GB2312" w:hAnsi="仿宋_GB2312" w:eastAsia="仿宋_GB2312" w:cs="仿宋_GB2312"/>
          <w:color w:val="auto"/>
          <w:kern w:val="0"/>
          <w:sz w:val="32"/>
          <w:szCs w:val="32"/>
          <w:highlight w:val="none"/>
          <w:vertAlign w:val="baseline"/>
          <w:lang w:val="en-US" w:eastAsia="zh-CN"/>
        </w:rPr>
        <w:t>、2021年年度报告存在重大遗漏、虚假记载等违法行为</w:t>
      </w:r>
      <w:r>
        <w:rPr>
          <w:rFonts w:hint="eastAsia" w:ascii="仿宋_GB2312" w:hAnsi="仿宋_GB2312" w:eastAsia="仿宋_GB2312" w:cs="仿宋_GB2312"/>
          <w:b w:val="0"/>
          <w:bCs w:val="0"/>
          <w:color w:val="auto"/>
          <w:kern w:val="2"/>
          <w:sz w:val="32"/>
          <w:szCs w:val="32"/>
          <w:highlight w:val="none"/>
          <w:vertAlign w:val="baseline"/>
          <w:lang w:val="en" w:eastAsia="zh-CN" w:bidi="ar-SA"/>
        </w:rPr>
        <w:t>直接负责的主管人员。</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vertAlign w:val="baseline"/>
          <w:lang w:val="en" w:eastAsia="zh-CN"/>
        </w:rPr>
      </w:pPr>
      <w:r>
        <w:rPr>
          <w:rFonts w:hint="eastAsia" w:ascii="仿宋_GB2312" w:hAnsi="仿宋_GB2312" w:eastAsia="仿宋_GB2312" w:cs="仿宋_GB2312"/>
          <w:color w:val="auto"/>
          <w:kern w:val="0"/>
          <w:sz w:val="32"/>
          <w:szCs w:val="32"/>
          <w:vertAlign w:val="baseline"/>
          <w:lang w:val="en" w:eastAsia="zh-CN"/>
        </w:rPr>
        <w:t>何某锋作为时任董事、副总裁，在</w:t>
      </w:r>
      <w:r>
        <w:rPr>
          <w:rFonts w:hint="eastAsia" w:ascii="仿宋_GB2312" w:hAnsi="仿宋_GB2312" w:eastAsia="仿宋_GB2312" w:cs="仿宋_GB2312"/>
          <w:color w:val="auto"/>
          <w:sz w:val="32"/>
          <w:szCs w:val="32"/>
          <w:vertAlign w:val="baseline"/>
        </w:rPr>
        <w:t>担任上述职务前已知悉</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sz w:val="32"/>
          <w:szCs w:val="32"/>
          <w:vertAlign w:val="baseline"/>
          <w:lang w:eastAsia="zh-CN"/>
        </w:rPr>
        <w:t>ST</w:t>
      </w:r>
      <w:r>
        <w:rPr>
          <w:rFonts w:hint="eastAsia" w:ascii="仿宋_GB2312" w:hAnsi="仿宋_GB2312" w:eastAsia="仿宋_GB2312" w:cs="仿宋_GB2312"/>
          <w:color w:val="auto"/>
          <w:sz w:val="32"/>
          <w:szCs w:val="32"/>
          <w:vertAlign w:val="baseline"/>
        </w:rPr>
        <w:t>岭南涉嫌串通投标罪被立案调查，且任职伊始便处于取保候审的刑事强制措施下</w:t>
      </w:r>
      <w:r>
        <w:rPr>
          <w:rFonts w:hint="eastAsia" w:ascii="仿宋_GB2312" w:hAnsi="仿宋_GB2312" w:eastAsia="仿宋_GB2312" w:cs="仿宋_GB2312"/>
          <w:color w:val="auto"/>
          <w:kern w:val="0"/>
          <w:sz w:val="32"/>
          <w:szCs w:val="32"/>
          <w:highlight w:val="none"/>
          <w:vertAlign w:val="baseline"/>
          <w:lang w:val="en-US" w:eastAsia="zh-CN"/>
        </w:rPr>
        <w:t>，</w:t>
      </w:r>
      <w:r>
        <w:rPr>
          <w:rFonts w:hint="eastAsia" w:ascii="仿宋_GB2312" w:hAnsi="仿宋_GB2312" w:eastAsia="仿宋_GB2312" w:cs="仿宋_GB2312"/>
          <w:color w:val="auto"/>
          <w:sz w:val="32"/>
          <w:szCs w:val="32"/>
          <w:vertAlign w:val="baseline"/>
        </w:rPr>
        <w:t>未</w:t>
      </w:r>
      <w:r>
        <w:rPr>
          <w:rFonts w:hint="eastAsia" w:ascii="仿宋_GB2312" w:hAnsi="仿宋_GB2312" w:eastAsia="仿宋_GB2312" w:cs="仿宋_GB2312"/>
          <w:color w:val="auto"/>
          <w:sz w:val="32"/>
          <w:szCs w:val="32"/>
          <w:vertAlign w:val="baseline"/>
          <w:lang w:eastAsia="zh-CN"/>
        </w:rPr>
        <w:t>勤勉尽责</w:t>
      </w:r>
      <w:r>
        <w:rPr>
          <w:rFonts w:hint="eastAsia" w:ascii="仿宋_GB2312" w:hAnsi="仿宋_GB2312" w:eastAsia="仿宋_GB2312" w:cs="仿宋_GB2312"/>
          <w:color w:val="auto"/>
          <w:sz w:val="32"/>
          <w:szCs w:val="32"/>
          <w:vertAlign w:val="baseline"/>
        </w:rPr>
        <w:t>，</w:t>
      </w:r>
      <w:r>
        <w:rPr>
          <w:rFonts w:hint="eastAsia" w:ascii="仿宋_GB2312" w:hAnsi="仿宋_GB2312" w:eastAsia="仿宋_GB2312" w:cs="仿宋_GB2312"/>
          <w:color w:val="auto"/>
          <w:kern w:val="0"/>
          <w:sz w:val="32"/>
          <w:szCs w:val="32"/>
          <w:highlight w:val="none"/>
          <w:vertAlign w:val="baseline"/>
          <w:lang w:val="en-US" w:eastAsia="zh-CN"/>
        </w:rPr>
        <w:t>是对</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highlight w:val="none"/>
          <w:vertAlign w:val="baseline"/>
          <w:lang w:val="en-US" w:eastAsia="zh-CN"/>
        </w:rPr>
        <w:t>ST岭南未按规定及时披露公司涉嫌犯罪被立案调查、时任董事涉嫌犯罪被采取强制措施违法行为</w:t>
      </w:r>
      <w:r>
        <w:rPr>
          <w:rFonts w:hint="eastAsia" w:ascii="仿宋_GB2312" w:hAnsi="仿宋_GB2312" w:eastAsia="仿宋_GB2312" w:cs="仿宋_GB2312"/>
          <w:b w:val="0"/>
          <w:bCs w:val="0"/>
          <w:color w:val="auto"/>
          <w:kern w:val="2"/>
          <w:sz w:val="32"/>
          <w:szCs w:val="32"/>
          <w:highlight w:val="none"/>
          <w:vertAlign w:val="baseline"/>
          <w:lang w:val="en" w:eastAsia="zh-CN" w:bidi="ar-SA"/>
        </w:rPr>
        <w:t>直接负责的主管人员。</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left"/>
        <w:textAlignment w:val="auto"/>
        <w:outlineLvl w:val="9"/>
        <w:rPr>
          <w:rFonts w:hint="eastAsia" w:ascii="仿宋_GB2312" w:hAnsi="仿宋_GB2312" w:eastAsia="仿宋_GB2312" w:cs="仿宋_GB2312"/>
          <w:b/>
          <w:bCs/>
          <w:color w:val="auto"/>
          <w:sz w:val="32"/>
          <w:szCs w:val="32"/>
          <w:vertAlign w:val="baseline"/>
          <w:lang w:val="en-US" w:eastAsia="zh-CN"/>
        </w:rPr>
      </w:pPr>
      <w:r>
        <w:rPr>
          <w:rFonts w:hint="eastAsia" w:ascii="仿宋_GB2312" w:hAnsi="仿宋_GB2312" w:eastAsia="仿宋_GB2312" w:cs="仿宋_GB2312"/>
          <w:b w:val="0"/>
          <w:bCs w:val="0"/>
          <w:color w:val="auto"/>
          <w:sz w:val="32"/>
          <w:szCs w:val="32"/>
          <w:highlight w:val="none"/>
          <w:vertAlign w:val="baseline"/>
          <w:lang w:eastAsia="zh-CN"/>
        </w:rPr>
        <w:t>陈某波作为</w:t>
      </w:r>
      <w:r>
        <w:rPr>
          <w:rFonts w:hint="eastAsia" w:ascii="仿宋_GB2312" w:hAnsi="仿宋_GB2312" w:eastAsia="仿宋_GB2312" w:cs="仿宋_GB2312"/>
          <w:color w:val="auto"/>
          <w:sz w:val="32"/>
          <w:szCs w:val="32"/>
          <w:highlight w:val="none"/>
          <w:vertAlign w:val="baseline"/>
        </w:rPr>
        <w:t>时任董事长</w:t>
      </w:r>
      <w:r>
        <w:rPr>
          <w:rFonts w:hint="eastAsia" w:ascii="仿宋_GB2312" w:hAnsi="仿宋_GB2312" w:eastAsia="仿宋_GB2312" w:cs="仿宋_GB2312"/>
          <w:color w:val="auto"/>
          <w:sz w:val="32"/>
          <w:szCs w:val="32"/>
          <w:highlight w:val="none"/>
          <w:vertAlign w:val="baseline"/>
          <w:lang w:eastAsia="zh-CN"/>
        </w:rPr>
        <w:t>、</w:t>
      </w:r>
      <w:r>
        <w:rPr>
          <w:rFonts w:hint="eastAsia" w:ascii="仿宋_GB2312" w:hAnsi="仿宋_GB2312" w:eastAsia="仿宋_GB2312" w:cs="仿宋_GB2312"/>
          <w:color w:val="auto"/>
          <w:sz w:val="32"/>
          <w:szCs w:val="32"/>
          <w:highlight w:val="none"/>
          <w:vertAlign w:val="baseline"/>
        </w:rPr>
        <w:t>代董事会秘书</w:t>
      </w:r>
      <w:r>
        <w:rPr>
          <w:rFonts w:hint="eastAsia" w:ascii="仿宋_GB2312" w:hAnsi="仿宋_GB2312" w:eastAsia="仿宋_GB2312" w:cs="仿宋_GB2312"/>
          <w:b w:val="0"/>
          <w:bCs w:val="0"/>
          <w:color w:val="auto"/>
          <w:sz w:val="32"/>
          <w:szCs w:val="32"/>
          <w:highlight w:val="none"/>
          <w:vertAlign w:val="baseline"/>
          <w:lang w:eastAsia="zh-CN"/>
        </w:rPr>
        <w:t>，</w:t>
      </w:r>
      <w:r>
        <w:rPr>
          <w:rFonts w:hint="eastAsia" w:ascii="仿宋_GB2312" w:hAnsi="仿宋_GB2312" w:eastAsia="仿宋_GB2312" w:cs="仿宋_GB2312"/>
          <w:color w:val="auto"/>
          <w:sz w:val="32"/>
          <w:szCs w:val="32"/>
          <w:highlight w:val="none"/>
          <w:vertAlign w:val="baseline"/>
        </w:rPr>
        <w:t>负责统筹</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sz w:val="32"/>
          <w:szCs w:val="32"/>
          <w:highlight w:val="none"/>
          <w:vertAlign w:val="baseline"/>
          <w:lang w:eastAsia="zh-CN"/>
        </w:rPr>
        <w:t>ST</w:t>
      </w:r>
      <w:r>
        <w:rPr>
          <w:rFonts w:hint="eastAsia" w:ascii="仿宋_GB2312" w:hAnsi="仿宋_GB2312" w:eastAsia="仿宋_GB2312" w:cs="仿宋_GB2312"/>
          <w:color w:val="auto"/>
          <w:sz w:val="32"/>
          <w:szCs w:val="32"/>
          <w:highlight w:val="none"/>
          <w:vertAlign w:val="baseline"/>
        </w:rPr>
        <w:t>岭南全面工作，</w:t>
      </w:r>
      <w:r>
        <w:rPr>
          <w:rFonts w:hint="eastAsia" w:ascii="仿宋_GB2312" w:hAnsi="仿宋_GB2312" w:eastAsia="仿宋_GB2312" w:cs="仿宋_GB2312"/>
          <w:b w:val="0"/>
          <w:bCs w:val="0"/>
          <w:color w:val="auto"/>
          <w:sz w:val="32"/>
          <w:szCs w:val="32"/>
          <w:vertAlign w:val="baseline"/>
        </w:rPr>
        <w:t>未勤勉尽责</w:t>
      </w:r>
      <w:r>
        <w:rPr>
          <w:rFonts w:hint="eastAsia" w:ascii="仿宋_GB2312" w:hAnsi="仿宋_GB2312" w:eastAsia="仿宋_GB2312" w:cs="仿宋_GB2312"/>
          <w:b w:val="0"/>
          <w:bCs w:val="0"/>
          <w:color w:val="auto"/>
          <w:sz w:val="32"/>
          <w:szCs w:val="32"/>
          <w:vertAlign w:val="baseline"/>
          <w:lang w:eastAsia="zh-CN"/>
        </w:rPr>
        <w:t>，是对</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highlight w:val="none"/>
          <w:vertAlign w:val="baseline"/>
          <w:lang w:val="en-US" w:eastAsia="zh-CN"/>
        </w:rPr>
        <w:t>ST岭南未按规定及时披露公司涉嫌犯罪被立案调查、时任董事涉嫌犯罪被采取强制措施违法行为</w:t>
      </w:r>
      <w:r>
        <w:rPr>
          <w:rFonts w:hint="eastAsia" w:ascii="仿宋_GB2312" w:hAnsi="仿宋_GB2312" w:eastAsia="仿宋_GB2312" w:cs="仿宋_GB2312"/>
          <w:b w:val="0"/>
          <w:bCs w:val="0"/>
          <w:color w:val="auto"/>
          <w:kern w:val="2"/>
          <w:sz w:val="32"/>
          <w:szCs w:val="32"/>
          <w:highlight w:val="none"/>
          <w:vertAlign w:val="baseline"/>
          <w:lang w:val="en" w:eastAsia="zh-CN" w:bidi="ar-SA"/>
        </w:rPr>
        <w:t>直接负责的主管人员</w:t>
      </w:r>
      <w:r>
        <w:rPr>
          <w:rFonts w:hint="eastAsia" w:ascii="仿宋_GB2312" w:hAnsi="仿宋_GB2312" w:eastAsia="仿宋_GB2312" w:cs="仿宋_GB2312"/>
          <w:b w:val="0"/>
          <w:bCs w:val="0"/>
          <w:color w:val="auto"/>
          <w:sz w:val="32"/>
          <w:szCs w:val="32"/>
          <w:vertAlign w:val="baseline"/>
        </w:rPr>
        <w:t>。</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snapToGrid w:val="0"/>
        <w:spacing w:before="0" w:beforeLines="0" w:after="0" w:afterLines="0" w:line="336"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vertAlign w:val="baseline"/>
          <w:lang w:val="en-US" w:eastAsia="zh-CN"/>
        </w:rPr>
      </w:pPr>
      <w:r>
        <w:rPr>
          <w:rFonts w:hint="eastAsia" w:ascii="仿宋_GB2312" w:hAnsi="仿宋_GB2312" w:eastAsia="仿宋_GB2312" w:cs="仿宋_GB2312"/>
          <w:color w:val="auto"/>
          <w:kern w:val="0"/>
          <w:sz w:val="32"/>
          <w:szCs w:val="32"/>
          <w:vertAlign w:val="baseline"/>
          <w:lang w:val="en-US" w:eastAsia="zh-CN"/>
        </w:rPr>
        <w:t>同时，尹某卫作为</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vertAlign w:val="baseline"/>
          <w:lang w:val="en-US" w:eastAsia="zh-CN"/>
        </w:rPr>
        <w:t>ST岭南原实际控制人，组织、指使上述资金占用行为</w:t>
      </w:r>
      <w:r>
        <w:rPr>
          <w:rFonts w:hint="eastAsia" w:ascii="仿宋_GB2312" w:hAnsi="仿宋_GB2312" w:eastAsia="仿宋_GB2312" w:cs="仿宋_GB2312"/>
          <w:b w:val="0"/>
          <w:bCs w:val="0"/>
          <w:color w:val="auto"/>
          <w:kern w:val="2"/>
          <w:sz w:val="32"/>
          <w:szCs w:val="32"/>
          <w:vertAlign w:val="baseline"/>
          <w:lang w:val="en-US" w:eastAsia="zh-CN" w:bidi="ar-SA"/>
        </w:rPr>
        <w:t>，</w:t>
      </w:r>
      <w:r>
        <w:rPr>
          <w:rFonts w:hint="eastAsia" w:ascii="仿宋_GB2312" w:hAnsi="仿宋_GB2312" w:eastAsia="仿宋_GB2312" w:cs="仿宋_GB2312"/>
          <w:color w:val="auto"/>
          <w:kern w:val="0"/>
          <w:sz w:val="32"/>
          <w:szCs w:val="32"/>
          <w:vertAlign w:val="baseline"/>
          <w:lang w:val="en-US" w:eastAsia="zh-CN"/>
        </w:rPr>
        <w:t>导致</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kern w:val="0"/>
          <w:sz w:val="32"/>
          <w:szCs w:val="32"/>
          <w:vertAlign w:val="baseline"/>
          <w:lang w:val="en-US" w:eastAsia="zh-CN"/>
        </w:rPr>
        <w:t>ST岭南未按规定及时披露资金占用</w:t>
      </w:r>
      <w:r>
        <w:rPr>
          <w:rFonts w:hint="eastAsia" w:ascii="仿宋_GB2312" w:hAnsi="仿宋_GB2312" w:eastAsia="仿宋_GB2312" w:cs="仿宋_GB2312"/>
          <w:b w:val="0"/>
          <w:bCs w:val="0"/>
          <w:snapToGrid/>
          <w:color w:val="auto"/>
          <w:kern w:val="2"/>
          <w:sz w:val="32"/>
          <w:szCs w:val="32"/>
          <w:highlight w:val="none"/>
          <w:vertAlign w:val="baseline"/>
          <w:lang w:val="en-US" w:eastAsia="zh-CN" w:bidi="ar-SA"/>
        </w:rPr>
        <w:t>形成的关联交易</w:t>
      </w:r>
      <w:r>
        <w:rPr>
          <w:rFonts w:hint="eastAsia" w:ascii="仿宋_GB2312" w:hAnsi="仿宋_GB2312" w:eastAsia="仿宋_GB2312" w:cs="仿宋_GB2312"/>
          <w:color w:val="auto"/>
          <w:kern w:val="0"/>
          <w:sz w:val="32"/>
          <w:szCs w:val="32"/>
          <w:vertAlign w:val="baseline"/>
          <w:lang w:val="en-US" w:eastAsia="zh-CN"/>
        </w:rPr>
        <w:t>，2021年年度报告存在重大遗漏，构成《证券法》第一百九十七条第一款、第二款所述的“发行人的控股股东、实际控制人组织、指使从事上述违法行为”的情形。</w:t>
      </w:r>
    </w:p>
    <w:p>
      <w:pPr>
        <w:keepNext w:val="0"/>
        <w:keepLines w:val="0"/>
        <w:pageBreakBefore w:val="0"/>
        <w:widowControl w:val="0"/>
        <w:kinsoku/>
        <w:wordWrap/>
        <w:overflowPunct/>
        <w:topLinePunct w:val="0"/>
        <w:autoSpaceDE/>
        <w:autoSpaceDN/>
        <w:bidi w:val="0"/>
        <w:adjustRightInd w:val="0"/>
        <w:snapToGrid w:val="0"/>
        <w:spacing w:beforeLines="-2147483648" w:afterLines="-2147483648" w:line="336" w:lineRule="auto"/>
        <w:ind w:firstLine="636" w:firstLineChars="0"/>
        <w:textAlignment w:val="auto"/>
        <w:rPr>
          <w:rFonts w:hint="eastAsia"/>
          <w:lang w:val="en-US" w:eastAsia="zh-CN"/>
        </w:rPr>
      </w:pPr>
      <w:r>
        <w:rPr>
          <w:rFonts w:hint="eastAsia" w:ascii="仿宋_GB2312" w:hAnsi="仿宋_GB2312" w:eastAsia="仿宋_GB2312" w:cs="仿宋_GB2312"/>
          <w:color w:val="auto"/>
          <w:kern w:val="0"/>
          <w:sz w:val="32"/>
          <w:szCs w:val="32"/>
          <w:vertAlign w:val="baseline"/>
          <w:lang w:val="en-US" w:eastAsia="zh-CN"/>
        </w:rPr>
        <w:t>当事人对违法事实、资金占用余额、主观状态、量罚等方面提出申辩意见，经复核，</w:t>
      </w:r>
      <w:r>
        <w:rPr>
          <w:rFonts w:hint="eastAsia" w:ascii="仿宋_GB2312" w:hAnsi="仿宋_GB2312" w:eastAsia="仿宋_GB2312" w:cs="仿宋_GB2312"/>
          <w:b w:val="0"/>
          <w:bCs w:val="0"/>
          <w:kern w:val="2"/>
          <w:sz w:val="32"/>
          <w:szCs w:val="32"/>
          <w:lang w:val="en-US" w:eastAsia="zh-CN" w:bidi="ar-SA"/>
        </w:rPr>
        <w:t>我局对*ST岭南、刘某平、何某锋、陈某波的陈述申辩意见不予采纳，对尹某卫提出配偶账户由其控制的陈述申辩意见予以采纳，其他申辩意见不予采纳。</w:t>
      </w:r>
    </w:p>
    <w:p>
      <w:pPr>
        <w:keepNext w:val="0"/>
        <w:keepLines w:val="0"/>
        <w:pageBreakBefore w:val="0"/>
        <w:widowControl w:val="0"/>
        <w:kinsoku/>
        <w:wordWrap/>
        <w:overflowPunct w:val="0"/>
        <w:topLinePunct w:val="0"/>
        <w:autoSpaceDE/>
        <w:autoSpaceDN/>
        <w:bidi w:val="0"/>
        <w:adjustRightInd/>
        <w:snapToGrid w:val="0"/>
        <w:spacing w:beforeLines="0" w:afterLines="0" w:line="336" w:lineRule="auto"/>
        <w:ind w:firstLine="640" w:firstLineChars="200"/>
        <w:textAlignment w:val="auto"/>
        <w:rPr>
          <w:rFonts w:hint="eastAsia" w:ascii="仿宋_GB2312" w:hAnsi="仿宋_GB2312" w:eastAsia="仿宋_GB2312" w:cs="仿宋_GB2312"/>
          <w:color w:val="auto"/>
          <w:spacing w:val="0"/>
          <w:kern w:val="0"/>
          <w:sz w:val="32"/>
          <w:szCs w:val="32"/>
          <w:vertAlign w:val="baseline"/>
          <w:lang w:val="en-US" w:eastAsia="zh-CN"/>
        </w:rPr>
      </w:pPr>
      <w:r>
        <w:rPr>
          <w:rFonts w:hint="eastAsia" w:ascii="仿宋_GB2312" w:hAnsi="仿宋_GB2312" w:eastAsia="仿宋_GB2312" w:cs="仿宋_GB2312"/>
          <w:color w:val="auto"/>
          <w:spacing w:val="0"/>
          <w:kern w:val="0"/>
          <w:sz w:val="32"/>
          <w:szCs w:val="32"/>
          <w:vertAlign w:val="baseline"/>
          <w:lang w:val="en-US" w:eastAsia="zh-CN"/>
        </w:rPr>
        <w:t>根据当事人违法行为的事实、性质、情节与社会危害程度，我局决定：</w:t>
      </w:r>
    </w:p>
    <w:p>
      <w:pPr>
        <w:keepNext w:val="0"/>
        <w:keepLines w:val="0"/>
        <w:pageBreakBefore w:val="0"/>
        <w:widowControl w:val="0"/>
        <w:numPr>
          <w:ilvl w:val="-1"/>
          <w:numId w:val="0"/>
        </w:numPr>
        <w:kinsoku/>
        <w:wordWrap/>
        <w:overflowPunct w:val="0"/>
        <w:topLinePunct w:val="0"/>
        <w:autoSpaceDE/>
        <w:autoSpaceDN/>
        <w:bidi w:val="0"/>
        <w:adjustRightInd/>
        <w:snapToGrid w:val="0"/>
        <w:spacing w:beforeLines="0" w:afterLines="0" w:line="336" w:lineRule="auto"/>
        <w:ind w:firstLine="640" w:firstLineChars="200"/>
        <w:jc w:val="both"/>
        <w:textAlignment w:val="auto"/>
        <w:outlineLvl w:val="1"/>
        <w:rPr>
          <w:rFonts w:hint="eastAsia" w:ascii="仿宋_GB2312" w:hAnsi="仿宋_GB2312" w:eastAsia="仿宋_GB2312" w:cs="仿宋_GB2312"/>
          <w:color w:val="auto"/>
          <w:spacing w:val="0"/>
          <w:kern w:val="0"/>
          <w:sz w:val="32"/>
          <w:szCs w:val="32"/>
          <w:vertAlign w:val="baseline"/>
          <w:lang w:val="en-US" w:eastAsia="zh-CN"/>
        </w:rPr>
      </w:pPr>
      <w:r>
        <w:rPr>
          <w:rFonts w:hint="eastAsia" w:ascii="仿宋_GB2312" w:hAnsi="仿宋_GB2312" w:eastAsia="仿宋_GB2312" w:cs="仿宋_GB2312"/>
          <w:color w:val="auto"/>
          <w:spacing w:val="0"/>
          <w:kern w:val="0"/>
          <w:sz w:val="32"/>
          <w:szCs w:val="32"/>
          <w:vertAlign w:val="baseline"/>
          <w:lang w:val="en-US" w:eastAsia="zh-CN"/>
        </w:rPr>
        <w:t>一、对</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spacing w:val="0"/>
          <w:kern w:val="0"/>
          <w:sz w:val="32"/>
          <w:szCs w:val="32"/>
          <w:vertAlign w:val="baseline"/>
          <w:lang w:val="en-US" w:eastAsia="zh-CN"/>
        </w:rPr>
        <w:t>ST岭南2021年年度报告存在重大遗漏、虚假记载，原实际控制人尹某卫组织、指使导致</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spacing w:val="0"/>
          <w:kern w:val="0"/>
          <w:sz w:val="32"/>
          <w:szCs w:val="32"/>
          <w:vertAlign w:val="baseline"/>
          <w:lang w:val="en-US" w:eastAsia="zh-CN"/>
        </w:rPr>
        <w:t>ST岭南2021年年度报告存在重大遗漏的行为，依据《证券法》第一百九十七条第二款的规定：</w:t>
      </w:r>
    </w:p>
    <w:p>
      <w:pPr>
        <w:keepNext w:val="0"/>
        <w:keepLines w:val="0"/>
        <w:pageBreakBefore w:val="0"/>
        <w:widowControl w:val="0"/>
        <w:numPr>
          <w:ilvl w:val="-1"/>
          <w:numId w:val="0"/>
        </w:numPr>
        <w:kinsoku/>
        <w:wordWrap/>
        <w:overflowPunct w:val="0"/>
        <w:topLinePunct w:val="0"/>
        <w:autoSpaceDE/>
        <w:autoSpaceDN/>
        <w:bidi w:val="0"/>
        <w:adjustRightInd/>
        <w:snapToGrid w:val="0"/>
        <w:spacing w:beforeLines="0" w:afterLines="0" w:line="336" w:lineRule="auto"/>
        <w:ind w:firstLine="640" w:firstLineChars="200"/>
        <w:jc w:val="both"/>
        <w:textAlignment w:val="auto"/>
        <w:outlineLvl w:val="1"/>
        <w:rPr>
          <w:rFonts w:hint="eastAsia" w:ascii="仿宋_GB2312" w:hAnsi="仿宋_GB2312" w:eastAsia="仿宋_GB2312" w:cs="仿宋_GB2312"/>
          <w:color w:val="auto"/>
          <w:spacing w:val="0"/>
          <w:kern w:val="0"/>
          <w:sz w:val="32"/>
          <w:szCs w:val="32"/>
          <w:vertAlign w:val="baseline"/>
          <w:lang w:val="en-US" w:eastAsia="zh-CN"/>
        </w:rPr>
      </w:pPr>
      <w:r>
        <w:rPr>
          <w:rFonts w:hint="eastAsia" w:ascii="仿宋_GB2312" w:hAnsi="仿宋_GB2312" w:eastAsia="仿宋_GB2312" w:cs="仿宋_GB2312"/>
          <w:color w:val="auto"/>
          <w:spacing w:val="0"/>
          <w:kern w:val="0"/>
          <w:sz w:val="32"/>
          <w:szCs w:val="32"/>
          <w:vertAlign w:val="baseline"/>
          <w:lang w:val="en-US" w:eastAsia="zh-CN"/>
        </w:rPr>
        <w:t>（一）</w:t>
      </w:r>
      <w:r>
        <w:rPr>
          <w:rFonts w:hint="eastAsia" w:ascii="仿宋_GB2312" w:hAnsi="仿宋_GB2312" w:eastAsia="仿宋_GB2312" w:cs="仿宋_GB2312"/>
          <w:b w:val="0"/>
          <w:bCs w:val="0"/>
          <w:color w:val="auto"/>
          <w:kern w:val="2"/>
          <w:sz w:val="32"/>
          <w:szCs w:val="32"/>
          <w:vertAlign w:val="baseline"/>
          <w:lang w:val="en-US" w:eastAsia="zh-CN" w:bidi="ar-SA"/>
        </w:rPr>
        <w:t>对</w:t>
      </w:r>
      <w:r>
        <w:rPr>
          <w:rFonts w:hint="eastAsia" w:ascii="仿宋_GB2312" w:hAnsi="仿宋_GB2312" w:eastAsia="仿宋_GB2312" w:cs="仿宋_GB2312"/>
          <w:color w:val="auto"/>
          <w:sz w:val="32"/>
          <w:szCs w:val="32"/>
          <w:vertAlign w:val="baseline"/>
          <w:lang w:val="en-US" w:eastAsia="zh-CN"/>
        </w:rPr>
        <w:t>岭南生态文旅股份有限公司</w:t>
      </w:r>
      <w:r>
        <w:rPr>
          <w:rFonts w:hint="eastAsia" w:ascii="仿宋_GB2312" w:hAnsi="仿宋_GB2312" w:eastAsia="仿宋_GB2312" w:cs="仿宋_GB2312"/>
          <w:b w:val="0"/>
          <w:bCs w:val="0"/>
          <w:color w:val="auto"/>
          <w:kern w:val="2"/>
          <w:sz w:val="32"/>
          <w:szCs w:val="32"/>
          <w:vertAlign w:val="baseline"/>
          <w:lang w:val="en-US" w:eastAsia="zh-CN" w:bidi="ar-SA"/>
        </w:rPr>
        <w:t>责令改正，给予警告，并处以600万元罚款</w:t>
      </w:r>
      <w:r>
        <w:rPr>
          <w:rFonts w:hint="eastAsia" w:ascii="仿宋_GB2312" w:hAnsi="仿宋_GB2312" w:eastAsia="仿宋_GB2312" w:cs="仿宋_GB2312"/>
          <w:color w:val="auto"/>
          <w:spacing w:val="0"/>
          <w:kern w:val="0"/>
          <w:sz w:val="32"/>
          <w:szCs w:val="32"/>
          <w:vertAlign w:val="baseline"/>
          <w:lang w:val="en-US" w:eastAsia="zh-CN"/>
        </w:rPr>
        <w:t>；</w:t>
      </w:r>
    </w:p>
    <w:p>
      <w:pPr>
        <w:keepNext w:val="0"/>
        <w:keepLines w:val="0"/>
        <w:pageBreakBefore w:val="0"/>
        <w:widowControl w:val="0"/>
        <w:numPr>
          <w:ilvl w:val="-1"/>
          <w:numId w:val="0"/>
        </w:numPr>
        <w:kinsoku/>
        <w:wordWrap/>
        <w:overflowPunct w:val="0"/>
        <w:topLinePunct w:val="0"/>
        <w:autoSpaceDE/>
        <w:autoSpaceDN/>
        <w:bidi w:val="0"/>
        <w:adjustRightInd/>
        <w:snapToGrid w:val="0"/>
        <w:spacing w:beforeLines="0" w:afterLines="0" w:line="336" w:lineRule="auto"/>
        <w:ind w:firstLine="640" w:firstLineChars="200"/>
        <w:jc w:val="both"/>
        <w:textAlignment w:val="auto"/>
        <w:outlineLvl w:val="1"/>
        <w:rPr>
          <w:rFonts w:hint="eastAsia" w:ascii="仿宋_GB2312" w:hAnsi="仿宋_GB2312" w:eastAsia="仿宋_GB2312" w:cs="仿宋_GB2312"/>
          <w:color w:val="auto"/>
          <w:spacing w:val="0"/>
          <w:kern w:val="0"/>
          <w:sz w:val="32"/>
          <w:szCs w:val="32"/>
          <w:vertAlign w:val="baseline"/>
          <w:lang w:val="en-US" w:eastAsia="zh-CN"/>
        </w:rPr>
      </w:pPr>
      <w:r>
        <w:rPr>
          <w:rFonts w:hint="eastAsia" w:ascii="仿宋_GB2312" w:hAnsi="仿宋_GB2312" w:eastAsia="仿宋_GB2312" w:cs="仿宋_GB2312"/>
          <w:color w:val="auto"/>
          <w:spacing w:val="0"/>
          <w:kern w:val="0"/>
          <w:sz w:val="32"/>
          <w:szCs w:val="32"/>
          <w:vertAlign w:val="baseline"/>
          <w:lang w:val="en-US" w:eastAsia="zh-CN"/>
        </w:rPr>
        <w:t>（二）</w:t>
      </w:r>
      <w:r>
        <w:rPr>
          <w:rFonts w:hint="eastAsia" w:ascii="仿宋_GB2312" w:hAnsi="仿宋_GB2312" w:eastAsia="仿宋_GB2312" w:cs="仿宋_GB2312"/>
          <w:b w:val="0"/>
          <w:bCs w:val="0"/>
          <w:color w:val="auto"/>
          <w:kern w:val="2"/>
          <w:sz w:val="32"/>
          <w:szCs w:val="32"/>
          <w:vertAlign w:val="baseline"/>
          <w:lang w:val="en-US" w:eastAsia="zh-CN" w:bidi="ar-SA"/>
        </w:rPr>
        <w:t>对尹某卫给予警告，并处以1050万元罚款，其中对其作为实际控制人处以700万元罚款，对其作为直接负责的主管人员处以350万元罚款</w:t>
      </w:r>
      <w:r>
        <w:rPr>
          <w:rFonts w:hint="eastAsia" w:ascii="仿宋_GB2312" w:hAnsi="仿宋_GB2312" w:eastAsia="仿宋_GB2312" w:cs="仿宋_GB2312"/>
          <w:b w:val="0"/>
          <w:bCs w:val="0"/>
          <w:color w:val="auto"/>
          <w:kern w:val="2"/>
          <w:sz w:val="32"/>
          <w:szCs w:val="32"/>
          <w:vertAlign w:val="baseline"/>
          <w:lang w:val="en" w:eastAsia="zh-CN" w:bidi="ar-SA"/>
        </w:rPr>
        <w:t>；</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color w:val="auto"/>
          <w:spacing w:val="0"/>
          <w:kern w:val="0"/>
          <w:sz w:val="32"/>
          <w:szCs w:val="32"/>
          <w:vertAlign w:val="baseline"/>
          <w:lang w:val="en-US" w:eastAsia="zh-CN"/>
        </w:rPr>
      </w:pPr>
      <w:r>
        <w:rPr>
          <w:rFonts w:hint="eastAsia" w:ascii="仿宋_GB2312" w:hAnsi="仿宋_GB2312" w:eastAsia="仿宋_GB2312" w:cs="仿宋_GB2312"/>
          <w:color w:val="auto"/>
          <w:spacing w:val="0"/>
          <w:kern w:val="0"/>
          <w:sz w:val="32"/>
          <w:szCs w:val="32"/>
          <w:vertAlign w:val="baseline"/>
          <w:lang w:val="en-US" w:eastAsia="zh-CN"/>
        </w:rPr>
        <w:t>（三）</w:t>
      </w:r>
      <w:r>
        <w:rPr>
          <w:rFonts w:hint="eastAsia" w:ascii="仿宋_GB2312" w:hAnsi="仿宋_GB2312" w:eastAsia="仿宋_GB2312" w:cs="仿宋_GB2312"/>
          <w:b w:val="0"/>
          <w:bCs w:val="0"/>
          <w:color w:val="auto"/>
          <w:kern w:val="2"/>
          <w:sz w:val="32"/>
          <w:szCs w:val="32"/>
          <w:vertAlign w:val="baseline"/>
          <w:lang w:val="en" w:eastAsia="zh-CN" w:bidi="ar-SA"/>
        </w:rPr>
        <w:t>对</w:t>
      </w:r>
      <w:r>
        <w:rPr>
          <w:rFonts w:hint="eastAsia" w:ascii="仿宋_GB2312" w:hAnsi="仿宋_GB2312" w:eastAsia="仿宋_GB2312" w:cs="仿宋_GB2312"/>
          <w:b w:val="0"/>
          <w:bCs w:val="0"/>
          <w:color w:val="auto"/>
          <w:sz w:val="32"/>
          <w:szCs w:val="32"/>
          <w:vertAlign w:val="baseline"/>
          <w:lang w:val="en-US" w:eastAsia="zh-CN"/>
        </w:rPr>
        <w:t>刘某平</w:t>
      </w:r>
      <w:r>
        <w:rPr>
          <w:rFonts w:hint="eastAsia" w:ascii="仿宋_GB2312" w:hAnsi="仿宋_GB2312" w:eastAsia="仿宋_GB2312" w:cs="仿宋_GB2312"/>
          <w:b w:val="0"/>
          <w:bCs w:val="0"/>
          <w:color w:val="auto"/>
          <w:kern w:val="2"/>
          <w:sz w:val="32"/>
          <w:szCs w:val="32"/>
          <w:vertAlign w:val="baseline"/>
          <w:lang w:val="en-US" w:eastAsia="zh-CN" w:bidi="ar-SA"/>
        </w:rPr>
        <w:t>给予警告，并处以250万元罚款</w:t>
      </w:r>
      <w:r>
        <w:rPr>
          <w:rFonts w:hint="eastAsia" w:ascii="仿宋_GB2312" w:hAnsi="仿宋_GB2312" w:eastAsia="仿宋_GB2312" w:cs="仿宋_GB2312"/>
          <w:b w:val="0"/>
          <w:bCs w:val="0"/>
          <w:color w:val="auto"/>
          <w:kern w:val="2"/>
          <w:sz w:val="32"/>
          <w:szCs w:val="32"/>
          <w:vertAlign w:val="baseline"/>
          <w:lang w:val="en" w:eastAsia="zh-CN" w:bidi="ar-SA"/>
        </w:rPr>
        <w:t>；</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b w:val="0"/>
          <w:bCs w:val="0"/>
          <w:color w:val="auto"/>
          <w:kern w:val="2"/>
          <w:sz w:val="32"/>
          <w:szCs w:val="32"/>
          <w:vertAlign w:val="baseline"/>
          <w:lang w:val="en-US" w:eastAsia="zh-CN" w:bidi="ar-SA"/>
        </w:rPr>
      </w:pPr>
      <w:r>
        <w:rPr>
          <w:rFonts w:hint="eastAsia" w:ascii="仿宋_GB2312" w:hAnsi="仿宋_GB2312" w:eastAsia="仿宋_GB2312" w:cs="仿宋_GB2312"/>
          <w:b w:val="0"/>
          <w:bCs w:val="0"/>
          <w:color w:val="auto"/>
          <w:sz w:val="32"/>
          <w:szCs w:val="32"/>
          <w:vertAlign w:val="baseline"/>
          <w:lang w:val="en-US" w:eastAsia="zh-CN"/>
        </w:rPr>
        <w:t>二、对</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color w:val="auto"/>
          <w:spacing w:val="0"/>
          <w:kern w:val="0"/>
          <w:sz w:val="32"/>
          <w:szCs w:val="32"/>
          <w:vertAlign w:val="baseline"/>
          <w:lang w:val="en-US" w:eastAsia="zh-CN"/>
        </w:rPr>
        <w:t>ST岭南未按规定及时披露资金占用</w:t>
      </w:r>
      <w:r>
        <w:rPr>
          <w:rFonts w:hint="eastAsia" w:ascii="仿宋_GB2312" w:hAnsi="仿宋_GB2312" w:eastAsia="仿宋_GB2312" w:cs="仿宋_GB2312"/>
          <w:b w:val="0"/>
          <w:bCs w:val="0"/>
          <w:snapToGrid/>
          <w:color w:val="auto"/>
          <w:kern w:val="2"/>
          <w:sz w:val="32"/>
          <w:szCs w:val="32"/>
          <w:highlight w:val="none"/>
          <w:vertAlign w:val="baseline"/>
          <w:lang w:val="en-US" w:eastAsia="zh-CN" w:bidi="ar-SA"/>
        </w:rPr>
        <w:t>形成的关联交易</w:t>
      </w:r>
      <w:r>
        <w:rPr>
          <w:rFonts w:hint="eastAsia" w:ascii="仿宋_GB2312" w:hAnsi="仿宋_GB2312" w:eastAsia="仿宋_GB2312" w:cs="仿宋_GB2312"/>
          <w:color w:val="auto"/>
          <w:spacing w:val="0"/>
          <w:kern w:val="0"/>
          <w:sz w:val="32"/>
          <w:szCs w:val="32"/>
          <w:vertAlign w:val="baseline"/>
          <w:lang w:val="en-US" w:eastAsia="zh-CN"/>
        </w:rPr>
        <w:t>，未按规定及时披露公司涉嫌犯罪被立案调查、时任董事涉嫌犯罪被采取强制措施事项的行为，原实际控制人尹某卫组织、指使导致</w:t>
      </w:r>
      <w:r>
        <w:rPr>
          <w:rFonts w:hint="eastAsia" w:ascii="仿宋_GB2312" w:hAnsi="仿宋_GB2312" w:eastAsia="仿宋_GB2312" w:cs="仿宋_GB2312"/>
          <w:color w:val="auto"/>
          <w:kern w:val="0"/>
          <w:sz w:val="32"/>
          <w:szCs w:val="32"/>
          <w:highlight w:val="none"/>
          <w:vertAlign w:val="baseline"/>
          <w:lang w:val="en-US" w:eastAsia="zh-CN" w:bidi="ar-SA"/>
        </w:rPr>
        <w:t>*</w:t>
      </w:r>
      <w:r>
        <w:rPr>
          <w:rFonts w:hint="eastAsia" w:ascii="仿宋_GB2312" w:hAnsi="仿宋_GB2312" w:eastAsia="仿宋_GB2312" w:cs="仿宋_GB2312"/>
          <w:b w:val="0"/>
          <w:bCs w:val="0"/>
          <w:snapToGrid/>
          <w:color w:val="auto"/>
          <w:kern w:val="2"/>
          <w:sz w:val="32"/>
          <w:szCs w:val="32"/>
          <w:highlight w:val="none"/>
          <w:vertAlign w:val="baseline"/>
          <w:lang w:val="en-US" w:eastAsia="zh-CN" w:bidi="ar-SA"/>
        </w:rPr>
        <w:t>ST岭南未按规定及时披露资金占用形成关联交易</w:t>
      </w:r>
      <w:r>
        <w:rPr>
          <w:rFonts w:hint="eastAsia" w:ascii="仿宋_GB2312" w:hAnsi="仿宋_GB2312" w:eastAsia="仿宋_GB2312" w:cs="仿宋_GB2312"/>
          <w:color w:val="auto"/>
          <w:spacing w:val="0"/>
          <w:kern w:val="0"/>
          <w:sz w:val="32"/>
          <w:szCs w:val="32"/>
          <w:vertAlign w:val="baseline"/>
          <w:lang w:val="en-US" w:eastAsia="zh-CN"/>
        </w:rPr>
        <w:t>的行为，</w:t>
      </w:r>
      <w:r>
        <w:rPr>
          <w:rFonts w:hint="eastAsia" w:ascii="仿宋_GB2312" w:hAnsi="仿宋_GB2312" w:eastAsia="仿宋_GB2312" w:cs="仿宋_GB2312"/>
          <w:b w:val="0"/>
          <w:bCs w:val="0"/>
          <w:color w:val="auto"/>
          <w:kern w:val="2"/>
          <w:sz w:val="32"/>
          <w:szCs w:val="32"/>
          <w:vertAlign w:val="baseline"/>
          <w:lang w:val="en-US" w:eastAsia="zh-CN" w:bidi="ar-SA"/>
        </w:rPr>
        <w:t>依据《证券法》第一百九十七条第一款的规定：</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b w:val="0"/>
          <w:bCs w:val="0"/>
          <w:color w:val="auto"/>
          <w:kern w:val="2"/>
          <w:sz w:val="32"/>
          <w:szCs w:val="32"/>
          <w:vertAlign w:val="baseline"/>
          <w:lang w:val="en-US" w:eastAsia="zh-CN" w:bidi="ar-SA"/>
        </w:rPr>
      </w:pPr>
      <w:r>
        <w:rPr>
          <w:rFonts w:hint="eastAsia" w:ascii="仿宋_GB2312" w:hAnsi="仿宋_GB2312" w:eastAsia="仿宋_GB2312" w:cs="仿宋_GB2312"/>
          <w:b w:val="0"/>
          <w:bCs w:val="0"/>
          <w:color w:val="auto"/>
          <w:kern w:val="2"/>
          <w:sz w:val="32"/>
          <w:szCs w:val="32"/>
          <w:vertAlign w:val="baseline"/>
          <w:lang w:val="en-US" w:eastAsia="zh-CN" w:bidi="ar-SA"/>
        </w:rPr>
        <w:t>（一）对岭南生态文旅股份有限公司给予警告，并处以200万元罚款；</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b w:val="0"/>
          <w:bCs w:val="0"/>
          <w:color w:val="auto"/>
          <w:kern w:val="2"/>
          <w:sz w:val="32"/>
          <w:szCs w:val="32"/>
          <w:vertAlign w:val="baseline"/>
          <w:lang w:val="en-US" w:eastAsia="zh-CN" w:bidi="ar-SA"/>
        </w:rPr>
      </w:pPr>
      <w:r>
        <w:rPr>
          <w:rFonts w:hint="eastAsia" w:ascii="仿宋_GB2312" w:hAnsi="仿宋_GB2312" w:eastAsia="仿宋_GB2312" w:cs="仿宋_GB2312"/>
          <w:b w:val="0"/>
          <w:bCs w:val="0"/>
          <w:color w:val="auto"/>
          <w:kern w:val="2"/>
          <w:sz w:val="32"/>
          <w:szCs w:val="32"/>
          <w:vertAlign w:val="baseline"/>
          <w:lang w:val="en-US" w:eastAsia="zh-CN" w:bidi="ar-SA"/>
        </w:rPr>
        <w:t>（二）对尹某卫给予警告，并处以350万元罚款，其中对其作为实际控制人处以250万元罚款，对其作为直接负责的主管人员处以100万元罚款</w:t>
      </w:r>
      <w:r>
        <w:rPr>
          <w:rFonts w:hint="eastAsia" w:ascii="仿宋_GB2312" w:hAnsi="仿宋_GB2312" w:eastAsia="仿宋_GB2312" w:cs="仿宋_GB2312"/>
          <w:b w:val="0"/>
          <w:bCs w:val="0"/>
          <w:color w:val="auto"/>
          <w:kern w:val="2"/>
          <w:sz w:val="32"/>
          <w:szCs w:val="32"/>
          <w:vertAlign w:val="baseline"/>
          <w:lang w:val="en" w:eastAsia="zh-CN" w:bidi="ar-SA"/>
        </w:rPr>
        <w:t>；</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b w:val="0"/>
          <w:bCs w:val="0"/>
          <w:color w:val="auto"/>
          <w:kern w:val="2"/>
          <w:sz w:val="32"/>
          <w:szCs w:val="32"/>
          <w:vertAlign w:val="baseline"/>
          <w:lang w:val="en-US" w:eastAsia="zh-CN" w:bidi="ar-SA"/>
        </w:rPr>
      </w:pPr>
      <w:r>
        <w:rPr>
          <w:rFonts w:hint="eastAsia" w:ascii="仿宋_GB2312" w:hAnsi="仿宋_GB2312" w:eastAsia="仿宋_GB2312" w:cs="仿宋_GB2312"/>
          <w:b w:val="0"/>
          <w:bCs w:val="0"/>
          <w:color w:val="auto"/>
          <w:kern w:val="2"/>
          <w:sz w:val="32"/>
          <w:szCs w:val="32"/>
          <w:vertAlign w:val="baseline"/>
          <w:lang w:val="en-US" w:eastAsia="zh-CN" w:bidi="ar-SA"/>
        </w:rPr>
        <w:t>（三）</w:t>
      </w:r>
      <w:r>
        <w:rPr>
          <w:rFonts w:hint="eastAsia" w:ascii="仿宋_GB2312" w:hAnsi="仿宋_GB2312" w:eastAsia="仿宋_GB2312" w:cs="仿宋_GB2312"/>
          <w:b w:val="0"/>
          <w:bCs w:val="0"/>
          <w:color w:val="auto"/>
          <w:kern w:val="2"/>
          <w:sz w:val="32"/>
          <w:szCs w:val="32"/>
          <w:vertAlign w:val="baseline"/>
          <w:lang w:val="en" w:eastAsia="zh-CN" w:bidi="ar-SA"/>
        </w:rPr>
        <w:t>对</w:t>
      </w:r>
      <w:r>
        <w:rPr>
          <w:rFonts w:hint="eastAsia" w:ascii="仿宋_GB2312" w:hAnsi="仿宋_GB2312" w:eastAsia="仿宋_GB2312" w:cs="仿宋_GB2312"/>
          <w:b w:val="0"/>
          <w:bCs w:val="0"/>
          <w:color w:val="auto"/>
          <w:kern w:val="2"/>
          <w:sz w:val="32"/>
          <w:szCs w:val="32"/>
          <w:vertAlign w:val="baseline"/>
          <w:lang w:val="en-US" w:eastAsia="zh-CN" w:bidi="ar-SA"/>
        </w:rPr>
        <w:t>刘某平给予警告，并处以80万元罚款</w:t>
      </w:r>
      <w:r>
        <w:rPr>
          <w:rFonts w:hint="eastAsia" w:ascii="仿宋_GB2312" w:hAnsi="仿宋_GB2312" w:eastAsia="仿宋_GB2312" w:cs="仿宋_GB2312"/>
          <w:b w:val="0"/>
          <w:bCs w:val="0"/>
          <w:color w:val="auto"/>
          <w:kern w:val="2"/>
          <w:sz w:val="32"/>
          <w:szCs w:val="32"/>
          <w:vertAlign w:val="baseline"/>
          <w:lang w:val="en" w:eastAsia="zh-CN" w:bidi="ar-SA"/>
        </w:rPr>
        <w:t>；</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b w:val="0"/>
          <w:bCs w:val="0"/>
          <w:color w:val="auto"/>
          <w:kern w:val="2"/>
          <w:sz w:val="32"/>
          <w:szCs w:val="32"/>
          <w:vertAlign w:val="baseline"/>
          <w:lang w:val="en-US" w:eastAsia="zh-CN" w:bidi="ar-SA"/>
        </w:rPr>
      </w:pPr>
      <w:r>
        <w:rPr>
          <w:rFonts w:hint="eastAsia" w:ascii="仿宋_GB2312" w:hAnsi="仿宋_GB2312" w:eastAsia="仿宋_GB2312" w:cs="仿宋_GB2312"/>
          <w:b w:val="0"/>
          <w:bCs w:val="0"/>
          <w:color w:val="auto"/>
          <w:kern w:val="2"/>
          <w:sz w:val="32"/>
          <w:szCs w:val="32"/>
          <w:vertAlign w:val="baseline"/>
          <w:lang w:val="en-US" w:eastAsia="zh-CN" w:bidi="ar-SA"/>
        </w:rPr>
        <w:t>（四）</w:t>
      </w:r>
      <w:r>
        <w:rPr>
          <w:rFonts w:hint="eastAsia" w:ascii="仿宋_GB2312" w:hAnsi="仿宋_GB2312" w:eastAsia="仿宋_GB2312" w:cs="仿宋_GB2312"/>
          <w:b w:val="0"/>
          <w:bCs w:val="0"/>
          <w:color w:val="auto"/>
          <w:kern w:val="2"/>
          <w:sz w:val="32"/>
          <w:szCs w:val="32"/>
          <w:vertAlign w:val="baseline"/>
          <w:lang w:val="en" w:eastAsia="zh-CN" w:bidi="ar-SA"/>
        </w:rPr>
        <w:t>对</w:t>
      </w:r>
      <w:r>
        <w:rPr>
          <w:rFonts w:hint="eastAsia" w:ascii="仿宋_GB2312" w:hAnsi="仿宋_GB2312" w:eastAsia="仿宋_GB2312" w:cs="仿宋_GB2312"/>
          <w:b w:val="0"/>
          <w:bCs w:val="0"/>
          <w:color w:val="auto"/>
          <w:kern w:val="2"/>
          <w:sz w:val="32"/>
          <w:szCs w:val="32"/>
          <w:vertAlign w:val="baseline"/>
          <w:lang w:val="en-US" w:eastAsia="zh-CN" w:bidi="ar-SA"/>
        </w:rPr>
        <w:t>何某锋给予警告，并处以40万元罚款；</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b w:val="0"/>
          <w:bCs w:val="0"/>
          <w:color w:val="auto"/>
          <w:kern w:val="2"/>
          <w:sz w:val="32"/>
          <w:szCs w:val="32"/>
          <w:vertAlign w:val="baseline"/>
          <w:lang w:val="en-US" w:eastAsia="zh-CN" w:bidi="ar-SA"/>
        </w:rPr>
      </w:pPr>
      <w:r>
        <w:rPr>
          <w:rFonts w:hint="eastAsia" w:ascii="仿宋_GB2312" w:hAnsi="仿宋_GB2312" w:eastAsia="仿宋_GB2312" w:cs="仿宋_GB2312"/>
          <w:b w:val="0"/>
          <w:bCs w:val="0"/>
          <w:color w:val="auto"/>
          <w:kern w:val="2"/>
          <w:sz w:val="32"/>
          <w:szCs w:val="32"/>
          <w:vertAlign w:val="baseline"/>
          <w:lang w:val="en-US" w:eastAsia="zh-CN" w:bidi="ar-SA"/>
        </w:rPr>
        <w:t>（五）</w:t>
      </w:r>
      <w:r>
        <w:rPr>
          <w:rFonts w:hint="eastAsia" w:ascii="仿宋_GB2312" w:hAnsi="仿宋_GB2312" w:eastAsia="仿宋_GB2312" w:cs="仿宋_GB2312"/>
          <w:b w:val="0"/>
          <w:bCs w:val="0"/>
          <w:color w:val="auto"/>
          <w:kern w:val="2"/>
          <w:sz w:val="32"/>
          <w:szCs w:val="32"/>
          <w:vertAlign w:val="baseline"/>
          <w:lang w:val="en" w:eastAsia="zh-CN" w:bidi="ar-SA"/>
        </w:rPr>
        <w:t>对</w:t>
      </w:r>
      <w:r>
        <w:rPr>
          <w:rFonts w:hint="eastAsia" w:ascii="仿宋_GB2312" w:hAnsi="仿宋_GB2312" w:eastAsia="仿宋_GB2312" w:cs="仿宋_GB2312"/>
          <w:b w:val="0"/>
          <w:bCs w:val="0"/>
          <w:color w:val="auto"/>
          <w:kern w:val="2"/>
          <w:sz w:val="32"/>
          <w:szCs w:val="32"/>
          <w:vertAlign w:val="baseline"/>
          <w:lang w:val="en-US" w:eastAsia="zh-CN" w:bidi="ar-SA"/>
        </w:rPr>
        <w:t>陈某波给予警告，并处以30万元罚款。</w:t>
      </w:r>
    </w:p>
    <w:p>
      <w:pPr>
        <w:keepNext w:val="0"/>
        <w:keepLines w:val="0"/>
        <w:pageBreakBefore w:val="0"/>
        <w:widowControl w:val="0"/>
        <w:kinsoku/>
        <w:wordWrap/>
        <w:overflowPunct w:val="0"/>
        <w:topLinePunct w:val="0"/>
        <w:autoSpaceDE/>
        <w:autoSpaceDN/>
        <w:bidi w:val="0"/>
        <w:adjustRightInd/>
        <w:snapToGrid w:val="0"/>
        <w:spacing w:beforeLines="0" w:afterLines="0" w:line="336" w:lineRule="auto"/>
        <w:ind w:firstLine="640" w:firstLineChars="200"/>
        <w:jc w:val="both"/>
        <w:textAlignment w:val="auto"/>
        <w:rPr>
          <w:rFonts w:hint="eastAsia" w:ascii="仿宋_GB2312" w:hAnsi="仿宋_GB2312" w:eastAsia="仿宋_GB2312" w:cs="仿宋_GB2312"/>
          <w:color w:val="auto"/>
          <w:spacing w:val="0"/>
          <w:kern w:val="0"/>
          <w:sz w:val="32"/>
          <w:szCs w:val="32"/>
          <w:vertAlign w:val="baseline"/>
          <w:lang w:val="en-US" w:eastAsia="zh-CN"/>
        </w:rPr>
      </w:pPr>
      <w:r>
        <w:rPr>
          <w:rFonts w:hint="eastAsia" w:ascii="仿宋_GB2312" w:hAnsi="仿宋_GB2312" w:eastAsia="仿宋_GB2312" w:cs="仿宋_GB2312"/>
          <w:color w:val="auto"/>
          <w:spacing w:val="0"/>
          <w:kern w:val="0"/>
          <w:sz w:val="32"/>
          <w:szCs w:val="32"/>
          <w:vertAlign w:val="baseline"/>
          <w:lang w:val="en-US" w:eastAsia="zh-CN"/>
        </w:rPr>
        <w:t>三、鉴于尹某卫违法行为情节较为严重，依据《证券法》第二百二十一条和《证券市场禁入规定》（证监会令第185号）第三条第一项、</w:t>
      </w:r>
      <w:r>
        <w:rPr>
          <w:rFonts w:hint="eastAsia" w:ascii="仿宋_GB2312" w:hAnsi="仿宋_GB2312" w:eastAsia="仿宋_GB2312" w:cs="仿宋_GB2312"/>
          <w:spacing w:val="0"/>
          <w:kern w:val="0"/>
          <w:sz w:val="32"/>
          <w:szCs w:val="32"/>
          <w:vertAlign w:val="baseline"/>
          <w:lang w:val="en-US" w:eastAsia="zh-CN"/>
        </w:rPr>
        <w:t>第四条第一款第一项、第五条、</w:t>
      </w:r>
      <w:r>
        <w:rPr>
          <w:rFonts w:hint="eastAsia" w:ascii="仿宋_GB2312" w:hAnsi="仿宋_GB2312" w:eastAsia="仿宋_GB2312" w:cs="仿宋_GB2312"/>
          <w:color w:val="auto"/>
          <w:spacing w:val="0"/>
          <w:kern w:val="0"/>
          <w:sz w:val="32"/>
          <w:szCs w:val="32"/>
          <w:vertAlign w:val="baseline"/>
          <w:lang w:val="en-US" w:eastAsia="zh-CN"/>
        </w:rPr>
        <w:t>第七条第一款的规定，对尹某卫采取10年证券市场禁入措施。自我局宣布决定之日起，在禁入期间内，除不得继续在原机构从事证券业务、证券服务业务或者担任原证券发行人的董事、监事、高级管理人员职务外，也不得在其他任何机构中从事证券业务、证券服务业务或者担任其他证券发行人的董事、监事、高级管理人员职务。</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b w:val="0"/>
          <w:bCs w:val="0"/>
          <w:color w:val="auto"/>
          <w:kern w:val="2"/>
          <w:sz w:val="32"/>
          <w:szCs w:val="32"/>
          <w:vertAlign w:val="baseline"/>
          <w:lang w:val="en-US" w:eastAsia="zh-CN" w:bidi="ar-SA"/>
        </w:rPr>
      </w:pPr>
      <w:r>
        <w:rPr>
          <w:rFonts w:hint="eastAsia" w:ascii="仿宋_GB2312" w:hAnsi="仿宋_GB2312" w:eastAsia="仿宋_GB2312" w:cs="仿宋_GB2312"/>
          <w:b w:val="0"/>
          <w:bCs w:val="0"/>
          <w:color w:val="auto"/>
          <w:kern w:val="2"/>
          <w:sz w:val="32"/>
          <w:szCs w:val="32"/>
          <w:vertAlign w:val="baseline"/>
          <w:lang w:val="en-US" w:eastAsia="zh-CN" w:bidi="ar-SA"/>
        </w:rPr>
        <w:t>综合上述三项意见，我局决定:</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color w:val="auto"/>
          <w:spacing w:val="0"/>
          <w:kern w:val="0"/>
          <w:sz w:val="32"/>
          <w:szCs w:val="32"/>
          <w:vertAlign w:val="baseline"/>
          <w:lang w:val="en-US" w:eastAsia="zh-CN"/>
        </w:rPr>
      </w:pPr>
      <w:r>
        <w:rPr>
          <w:rFonts w:hint="eastAsia" w:ascii="仿宋_GB2312" w:hAnsi="仿宋_GB2312" w:eastAsia="仿宋_GB2312" w:cs="仿宋_GB2312"/>
          <w:b w:val="0"/>
          <w:bCs w:val="0"/>
          <w:color w:val="auto"/>
          <w:kern w:val="2"/>
          <w:sz w:val="32"/>
          <w:szCs w:val="32"/>
          <w:vertAlign w:val="baseline"/>
          <w:lang w:val="en-US" w:eastAsia="zh-CN" w:bidi="ar-SA"/>
        </w:rPr>
        <w:t>一、对</w:t>
      </w:r>
      <w:r>
        <w:rPr>
          <w:rFonts w:hint="eastAsia" w:ascii="仿宋_GB2312" w:hAnsi="仿宋_GB2312" w:eastAsia="仿宋_GB2312" w:cs="仿宋_GB2312"/>
          <w:color w:val="auto"/>
          <w:sz w:val="32"/>
          <w:szCs w:val="32"/>
          <w:vertAlign w:val="baseline"/>
          <w:lang w:val="en-US" w:eastAsia="zh-CN"/>
        </w:rPr>
        <w:t>岭南生态文旅股份有限公司</w:t>
      </w:r>
      <w:r>
        <w:rPr>
          <w:rFonts w:hint="eastAsia" w:ascii="仿宋_GB2312" w:hAnsi="仿宋_GB2312" w:eastAsia="仿宋_GB2312" w:cs="仿宋_GB2312"/>
          <w:b w:val="0"/>
          <w:bCs w:val="0"/>
          <w:color w:val="auto"/>
          <w:kern w:val="2"/>
          <w:sz w:val="32"/>
          <w:szCs w:val="32"/>
          <w:vertAlign w:val="baseline"/>
          <w:lang w:val="en-US" w:eastAsia="zh-CN" w:bidi="ar-SA"/>
        </w:rPr>
        <w:t>责令改正，给予警告，并处以800万元罚款</w:t>
      </w:r>
      <w:r>
        <w:rPr>
          <w:rFonts w:hint="eastAsia" w:ascii="仿宋_GB2312" w:hAnsi="仿宋_GB2312" w:eastAsia="仿宋_GB2312" w:cs="仿宋_GB2312"/>
          <w:color w:val="auto"/>
          <w:spacing w:val="0"/>
          <w:kern w:val="0"/>
          <w:sz w:val="32"/>
          <w:szCs w:val="32"/>
          <w:vertAlign w:val="baseline"/>
          <w:lang w:val="en-US" w:eastAsia="zh-CN"/>
        </w:rPr>
        <w:t>；</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color w:val="auto"/>
          <w:spacing w:val="0"/>
          <w:kern w:val="0"/>
          <w:sz w:val="32"/>
          <w:szCs w:val="32"/>
          <w:vertAlign w:val="baseline"/>
          <w:lang w:val="en-US" w:eastAsia="zh-CN"/>
        </w:rPr>
      </w:pPr>
      <w:r>
        <w:rPr>
          <w:rFonts w:hint="eastAsia" w:ascii="仿宋_GB2312" w:hAnsi="仿宋_GB2312" w:eastAsia="仿宋_GB2312" w:cs="仿宋_GB2312"/>
          <w:b w:val="0"/>
          <w:bCs w:val="0"/>
          <w:color w:val="auto"/>
          <w:kern w:val="2"/>
          <w:sz w:val="32"/>
          <w:szCs w:val="32"/>
          <w:vertAlign w:val="baseline"/>
          <w:lang w:val="en-US" w:eastAsia="zh-CN" w:bidi="ar-SA"/>
        </w:rPr>
        <w:t>二、对尹某卫给予警告，并处以1400万元罚款，其中对其作为实际控制人处以950万元罚款，对其作为直接负责的主管人员处以450万元罚款，</w:t>
      </w:r>
      <w:r>
        <w:rPr>
          <w:rFonts w:hint="eastAsia" w:ascii="仿宋_GB2312" w:hAnsi="仿宋_GB2312" w:eastAsia="仿宋_GB2312" w:cs="仿宋_GB2312"/>
          <w:spacing w:val="0"/>
          <w:kern w:val="0"/>
          <w:sz w:val="32"/>
          <w:szCs w:val="32"/>
          <w:vertAlign w:val="baseline"/>
          <w:lang w:val="en-US" w:eastAsia="zh-CN"/>
        </w:rPr>
        <w:t>同时对尹某卫采取10年证券市场禁入措施。</w:t>
      </w:r>
      <w:r>
        <w:rPr>
          <w:rFonts w:hint="eastAsia" w:ascii="仿宋_GB2312" w:hAnsi="仿宋_GB2312" w:eastAsia="仿宋_GB2312" w:cs="仿宋_GB2312"/>
          <w:color w:val="auto"/>
          <w:spacing w:val="0"/>
          <w:kern w:val="0"/>
          <w:sz w:val="32"/>
          <w:szCs w:val="32"/>
          <w:vertAlign w:val="baseline"/>
          <w:lang w:val="en-US" w:eastAsia="zh-CN"/>
        </w:rPr>
        <w:t>自我局宣布决定之日起，在禁入期间内，除不得继续在原机构从事证券业务、证券服务业务或者担任原证券发行人的董事、监事、高级管理人员职务外，也不得在其他任何机构中从事证券业务、证券服务业务或者担任其他证券发行人的董事、监事、高级管理人员职务</w:t>
      </w:r>
      <w:r>
        <w:rPr>
          <w:rFonts w:hint="eastAsia" w:ascii="仿宋_GB2312" w:hAnsi="仿宋_GB2312" w:eastAsia="仿宋_GB2312" w:cs="仿宋_GB2312"/>
          <w:b w:val="0"/>
          <w:bCs w:val="0"/>
          <w:color w:val="auto"/>
          <w:kern w:val="2"/>
          <w:sz w:val="32"/>
          <w:szCs w:val="32"/>
          <w:vertAlign w:val="baseline"/>
          <w:lang w:val="en" w:eastAsia="zh-CN" w:bidi="ar-SA"/>
        </w:rPr>
        <w:t>；</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color w:val="auto"/>
          <w:spacing w:val="0"/>
          <w:kern w:val="0"/>
          <w:sz w:val="32"/>
          <w:szCs w:val="32"/>
          <w:vertAlign w:val="baseline"/>
          <w:lang w:val="en-US" w:eastAsia="zh-CN"/>
        </w:rPr>
      </w:pPr>
      <w:r>
        <w:rPr>
          <w:rFonts w:hint="eastAsia" w:ascii="仿宋_GB2312" w:hAnsi="仿宋_GB2312" w:eastAsia="仿宋_GB2312" w:cs="仿宋_GB2312"/>
          <w:b w:val="0"/>
          <w:bCs w:val="0"/>
          <w:color w:val="auto"/>
          <w:kern w:val="2"/>
          <w:sz w:val="32"/>
          <w:szCs w:val="32"/>
          <w:vertAlign w:val="baseline"/>
          <w:lang w:val="en" w:eastAsia="zh-CN" w:bidi="ar-SA"/>
        </w:rPr>
        <w:t>三、对</w:t>
      </w:r>
      <w:r>
        <w:rPr>
          <w:rFonts w:hint="eastAsia" w:ascii="仿宋_GB2312" w:hAnsi="仿宋_GB2312" w:eastAsia="仿宋_GB2312" w:cs="仿宋_GB2312"/>
          <w:b w:val="0"/>
          <w:bCs w:val="0"/>
          <w:color w:val="auto"/>
          <w:sz w:val="32"/>
          <w:szCs w:val="32"/>
          <w:vertAlign w:val="baseline"/>
          <w:lang w:val="en-US" w:eastAsia="zh-CN"/>
        </w:rPr>
        <w:t>刘某平</w:t>
      </w:r>
      <w:r>
        <w:rPr>
          <w:rFonts w:hint="eastAsia" w:ascii="仿宋_GB2312" w:hAnsi="仿宋_GB2312" w:eastAsia="仿宋_GB2312" w:cs="仿宋_GB2312"/>
          <w:b w:val="0"/>
          <w:bCs w:val="0"/>
          <w:color w:val="auto"/>
          <w:kern w:val="2"/>
          <w:sz w:val="32"/>
          <w:szCs w:val="32"/>
          <w:vertAlign w:val="baseline"/>
          <w:lang w:val="en-US" w:eastAsia="zh-CN" w:bidi="ar-SA"/>
        </w:rPr>
        <w:t>给予警告，并处以330万元罚款</w:t>
      </w:r>
      <w:r>
        <w:rPr>
          <w:rFonts w:hint="eastAsia" w:ascii="仿宋_GB2312" w:hAnsi="仿宋_GB2312" w:eastAsia="仿宋_GB2312" w:cs="仿宋_GB2312"/>
          <w:b w:val="0"/>
          <w:bCs w:val="0"/>
          <w:color w:val="auto"/>
          <w:kern w:val="2"/>
          <w:sz w:val="32"/>
          <w:szCs w:val="32"/>
          <w:vertAlign w:val="baseline"/>
          <w:lang w:val="en" w:eastAsia="zh-CN" w:bidi="ar-SA"/>
        </w:rPr>
        <w:t>；</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b w:val="0"/>
          <w:bCs w:val="0"/>
          <w:color w:val="auto"/>
          <w:kern w:val="2"/>
          <w:sz w:val="32"/>
          <w:szCs w:val="32"/>
          <w:vertAlign w:val="baseline"/>
          <w:lang w:val="en-US" w:eastAsia="zh-CN" w:bidi="ar-SA"/>
        </w:rPr>
      </w:pPr>
      <w:r>
        <w:rPr>
          <w:rFonts w:hint="eastAsia" w:ascii="仿宋_GB2312" w:hAnsi="仿宋_GB2312" w:eastAsia="仿宋_GB2312" w:cs="仿宋_GB2312"/>
          <w:b w:val="0"/>
          <w:bCs w:val="0"/>
          <w:color w:val="auto"/>
          <w:kern w:val="2"/>
          <w:sz w:val="32"/>
          <w:szCs w:val="32"/>
          <w:vertAlign w:val="baseline"/>
          <w:lang w:val="en" w:eastAsia="zh-CN" w:bidi="ar-SA"/>
        </w:rPr>
        <w:t>四、对</w:t>
      </w:r>
      <w:r>
        <w:rPr>
          <w:rFonts w:hint="eastAsia" w:ascii="仿宋_GB2312" w:hAnsi="仿宋_GB2312" w:eastAsia="仿宋_GB2312" w:cs="仿宋_GB2312"/>
          <w:b w:val="0"/>
          <w:bCs w:val="0"/>
          <w:color w:val="auto"/>
          <w:kern w:val="2"/>
          <w:sz w:val="32"/>
          <w:szCs w:val="32"/>
          <w:vertAlign w:val="baseline"/>
          <w:lang w:val="en-US" w:eastAsia="zh-CN" w:bidi="ar-SA"/>
        </w:rPr>
        <w:t>何某锋给予警告，并处以40万元罚款；</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beforeLines="0" w:afterLines="0" w:line="336" w:lineRule="auto"/>
        <w:ind w:firstLine="640" w:firstLineChars="200"/>
        <w:jc w:val="both"/>
        <w:textAlignment w:val="auto"/>
        <w:outlineLvl w:val="1"/>
        <w:rPr>
          <w:rFonts w:hint="eastAsia" w:ascii="仿宋_GB2312" w:hAnsi="仿宋_GB2312" w:eastAsia="仿宋_GB2312" w:cs="仿宋_GB2312"/>
          <w:color w:val="auto"/>
          <w:vertAlign w:val="baseline"/>
          <w:lang w:val="en-US" w:eastAsia="zh-CN"/>
        </w:rPr>
      </w:pPr>
      <w:r>
        <w:rPr>
          <w:rFonts w:hint="eastAsia" w:ascii="仿宋_GB2312" w:hAnsi="仿宋_GB2312" w:eastAsia="仿宋_GB2312" w:cs="仿宋_GB2312"/>
          <w:b w:val="0"/>
          <w:bCs w:val="0"/>
          <w:color w:val="auto"/>
          <w:kern w:val="2"/>
          <w:sz w:val="32"/>
          <w:szCs w:val="32"/>
          <w:vertAlign w:val="baseline"/>
          <w:lang w:val="en" w:eastAsia="zh-CN" w:bidi="ar-SA"/>
        </w:rPr>
        <w:t>五、对</w:t>
      </w:r>
      <w:r>
        <w:rPr>
          <w:rFonts w:hint="eastAsia" w:ascii="仿宋_GB2312" w:hAnsi="仿宋_GB2312" w:eastAsia="仿宋_GB2312" w:cs="仿宋_GB2312"/>
          <w:b w:val="0"/>
          <w:bCs w:val="0"/>
          <w:color w:val="auto"/>
          <w:kern w:val="2"/>
          <w:sz w:val="32"/>
          <w:szCs w:val="32"/>
          <w:vertAlign w:val="baseline"/>
          <w:lang w:val="en-US" w:eastAsia="zh-CN" w:bidi="ar-SA"/>
        </w:rPr>
        <w:t>陈某波给予警告，并处以30万元罚款。</w:t>
      </w:r>
    </w:p>
    <w:p>
      <w:pPr>
        <w:overflowPunct w:val="0"/>
        <w:adjustRightInd/>
        <w:snapToGrid w:val="0"/>
        <w:spacing w:beforeLines="0" w:afterLines="0" w:line="336" w:lineRule="auto"/>
        <w:ind w:firstLine="640" w:firstLineChars="200"/>
        <w:rPr>
          <w:rFonts w:hint="eastAsia" w:ascii="仿宋_GB2312" w:hAnsi="仿宋_GB2312" w:eastAsia="仿宋_GB2312" w:cs="仿宋_GB2312"/>
          <w:color w:val="000000"/>
          <w:kern w:val="2"/>
          <w:sz w:val="28"/>
          <w:szCs w:val="28"/>
          <w:vertAlign w:val="baseline"/>
        </w:rPr>
      </w:pPr>
      <w:r>
        <w:rPr>
          <w:rFonts w:hint="eastAsia" w:ascii="仿宋_GB2312" w:hAnsi="仿宋_GB2312" w:eastAsia="仿宋_GB2312" w:cs="仿宋_GB2312"/>
          <w:color w:val="auto"/>
          <w:spacing w:val="0"/>
          <w:kern w:val="0"/>
          <w:sz w:val="32"/>
          <w:szCs w:val="32"/>
          <w:vertAlign w:val="baseline"/>
          <w:lang w:val="en-US" w:eastAsia="zh-CN"/>
        </w:rPr>
        <w:t>上述当事人应自收到本处罚决定书之日起15日内，将罚款直接汇交国库。具体缴款方式见本处罚决定书所附说明。同时，须将注有当事人名称的付款凭证复印件送我局备案。当事人如果对本处罚决定不服，可在收到本处罚决定书之日起60日内向中国证券监督管理委员会申请行政复议（行政复议申请可以通过邮政快递寄送至中国证券监督管理委员会法治司），也可在收到本处罚决定书之日起6个月内直接向有管辖权的人民法院提起行政诉讼。复议和诉讼期间，上述决定不停止执行。</w:t>
      </w:r>
    </w:p>
    <w:p>
      <w:pPr>
        <w:keepNext w:val="0"/>
        <w:keepLines w:val="0"/>
        <w:pageBreakBefore w:val="0"/>
        <w:widowControl w:val="0"/>
        <w:kinsoku/>
        <w:wordWrap/>
        <w:overflowPunct w:val="0"/>
        <w:topLinePunct w:val="0"/>
        <w:autoSpaceDE/>
        <w:autoSpaceDN/>
        <w:bidi w:val="0"/>
        <w:adjustRightInd w:val="0"/>
        <w:snapToGrid w:val="0"/>
        <w:spacing w:line="360" w:lineRule="auto"/>
        <w:jc w:val="left"/>
        <w:textAlignment w:val="auto"/>
        <w:rPr>
          <w:rFonts w:hint="eastAsia" w:ascii="仿宋_GB2312" w:hAnsi="仿宋_GB2312" w:eastAsia="仿宋_GB2312" w:cs="仿宋_GB2312"/>
          <w:color w:val="000000"/>
          <w:kern w:val="2"/>
          <w:sz w:val="28"/>
          <w:szCs w:val="28"/>
          <w:vertAlign w:val="baseline"/>
        </w:rPr>
      </w:pPr>
    </w:p>
    <w:p>
      <w:pPr>
        <w:pStyle w:val="2"/>
        <w:rPr>
          <w:rFonts w:hint="eastAsia"/>
        </w:rPr>
      </w:pPr>
    </w:p>
    <w:p>
      <w:pPr>
        <w:overflowPunct w:val="0"/>
        <w:adjustRightInd w:val="0"/>
        <w:snapToGrid w:val="0"/>
        <w:spacing w:line="360" w:lineRule="auto"/>
        <w:ind w:right="1705"/>
        <w:jc w:val="right"/>
        <w:rPr>
          <w:rFonts w:hint="eastAsia" w:ascii="仿宋_GB2312" w:hAnsi="仿宋_GB2312" w:eastAsia="仿宋_GB2312" w:cs="仿宋_GB2312"/>
          <w:color w:val="000000"/>
          <w:kern w:val="2"/>
          <w:sz w:val="32"/>
          <w:szCs w:val="20"/>
          <w:vertAlign w:val="baseline"/>
        </w:rPr>
      </w:pPr>
      <w:r>
        <w:rPr>
          <w:rFonts w:hint="eastAsia" w:ascii="仿宋_GB2312" w:hAnsi="仿宋_GB2312" w:eastAsia="仿宋_GB2312" w:cs="仿宋_GB2312"/>
          <w:color w:val="000000"/>
          <w:kern w:val="2"/>
          <w:sz w:val="32"/>
          <w:szCs w:val="20"/>
          <w:vertAlign w:val="baseline"/>
        </w:rPr>
        <w:t>广东证监局</w:t>
      </w:r>
    </w:p>
    <w:p>
      <w:pPr>
        <w:keepNext w:val="0"/>
        <w:keepLines w:val="0"/>
        <w:pageBreakBefore w:val="0"/>
        <w:widowControl/>
        <w:numPr>
          <w:ilvl w:val="0"/>
          <w:numId w:val="0"/>
        </w:numPr>
        <w:pBdr>
          <w:top w:val="none" w:color="auto" w:sz="0" w:space="0"/>
          <w:bottom w:val="none" w:color="auto" w:sz="0" w:space="0"/>
        </w:pBdr>
        <w:kinsoku/>
        <w:wordWrap/>
        <w:overflowPunct w:val="0"/>
        <w:topLinePunct w:val="0"/>
        <w:autoSpaceDE/>
        <w:autoSpaceDN/>
        <w:bidi w:val="0"/>
        <w:adjustRightInd w:val="0"/>
        <w:snapToGrid w:val="0"/>
        <w:spacing w:beforeLines="0" w:afterLines="0" w:line="360" w:lineRule="auto"/>
        <w:ind w:firstLine="0"/>
        <w:jc w:val="center"/>
        <w:textAlignment w:val="auto"/>
        <w:outlineLvl w:val="9"/>
        <w:rPr>
          <w:rFonts w:hint="eastAsia" w:ascii="仿宋_GB2312" w:hAnsi="仿宋_GB2312" w:eastAsia="仿宋_GB2312" w:cs="仿宋_GB2312"/>
          <w:color w:val="auto"/>
          <w:spacing w:val="8"/>
          <w:sz w:val="28"/>
          <w:vertAlign w:val="baseline"/>
        </w:rPr>
      </w:pPr>
      <w:r>
        <w:rPr>
          <w:rFonts w:hint="eastAsia" w:ascii="仿宋_GB2312" w:hAnsi="仿宋_GB2312" w:eastAsia="仿宋_GB2312" w:cs="仿宋_GB2312"/>
          <w:color w:val="000000"/>
          <w:spacing w:val="10"/>
          <w:kern w:val="2"/>
          <w:sz w:val="28"/>
          <w:szCs w:val="28"/>
          <w:vertAlign w:val="baseline"/>
          <w:lang w:val="en-US" w:eastAsia="zh-CN"/>
        </w:rPr>
        <w:t xml:space="preserve">   </w:t>
      </w:r>
      <w:r>
        <w:rPr>
          <w:rFonts w:hint="eastAsia" w:ascii="仿宋_GB2312" w:hAnsi="仿宋_GB2312" w:eastAsia="仿宋_GB2312" w:cs="仿宋_GB2312"/>
          <w:color w:val="000000"/>
          <w:spacing w:val="10"/>
          <w:kern w:val="2"/>
          <w:sz w:val="32"/>
          <w:szCs w:val="32"/>
          <w:vertAlign w:val="baseline"/>
          <w:lang w:val="en-US" w:eastAsia="zh-CN"/>
        </w:rPr>
        <w:t xml:space="preserve">                   </w:t>
      </w:r>
      <w:r>
        <w:rPr>
          <w:rFonts w:hint="eastAsia" w:ascii="仿宋_GB2312" w:hAnsi="仿宋_GB2312" w:eastAsia="仿宋_GB2312" w:cs="仿宋_GB2312"/>
          <w:color w:val="000000"/>
          <w:spacing w:val="10"/>
          <w:kern w:val="2"/>
          <w:sz w:val="32"/>
          <w:szCs w:val="32"/>
          <w:vertAlign w:val="baseline"/>
          <w:lang w:eastAsia="zh-CN"/>
        </w:rPr>
        <w:t>2</w:t>
      </w:r>
      <w:r>
        <w:rPr>
          <w:rFonts w:hint="eastAsia" w:ascii="仿宋_GB2312" w:hAnsi="仿宋_GB2312" w:eastAsia="仿宋_GB2312" w:cs="仿宋_GB2312"/>
          <w:color w:val="000000"/>
          <w:spacing w:val="10"/>
          <w:kern w:val="2"/>
          <w:sz w:val="32"/>
          <w:szCs w:val="32"/>
          <w:vertAlign w:val="baseline"/>
          <w:lang w:val="en-US" w:eastAsia="zh-CN"/>
        </w:rPr>
        <w:t>026</w:t>
      </w:r>
      <w:r>
        <w:rPr>
          <w:rFonts w:hint="eastAsia" w:ascii="仿宋_GB2312" w:hAnsi="仿宋_GB2312" w:eastAsia="仿宋_GB2312" w:cs="仿宋_GB2312"/>
          <w:color w:val="000000"/>
          <w:spacing w:val="10"/>
          <w:kern w:val="2"/>
          <w:sz w:val="32"/>
          <w:szCs w:val="32"/>
          <w:vertAlign w:val="baseline"/>
        </w:rPr>
        <w:t>年</w:t>
      </w:r>
      <w:r>
        <w:rPr>
          <w:rFonts w:hint="eastAsia" w:ascii="仿宋_GB2312" w:hAnsi="仿宋_GB2312" w:eastAsia="仿宋_GB2312" w:cs="仿宋_GB2312"/>
          <w:color w:val="000000"/>
          <w:spacing w:val="10"/>
          <w:kern w:val="2"/>
          <w:sz w:val="32"/>
          <w:szCs w:val="32"/>
          <w:vertAlign w:val="baseline"/>
          <w:lang w:val="en-US" w:eastAsia="zh-CN"/>
        </w:rPr>
        <w:t>9</w:t>
      </w:r>
      <w:r>
        <w:rPr>
          <w:rFonts w:hint="eastAsia" w:ascii="仿宋_GB2312" w:hAnsi="仿宋_GB2312" w:eastAsia="仿宋_GB2312" w:cs="仿宋_GB2312"/>
          <w:color w:val="000000"/>
          <w:spacing w:val="10"/>
          <w:kern w:val="2"/>
          <w:sz w:val="32"/>
          <w:szCs w:val="32"/>
          <w:vertAlign w:val="baseline"/>
        </w:rPr>
        <w:t>月</w:t>
      </w:r>
      <w:r>
        <w:rPr>
          <w:rFonts w:hint="eastAsia" w:ascii="仿宋_GB2312" w:hAnsi="仿宋_GB2312" w:eastAsia="仿宋_GB2312" w:cs="仿宋_GB2312"/>
          <w:color w:val="000000"/>
          <w:spacing w:val="10"/>
          <w:kern w:val="2"/>
          <w:sz w:val="32"/>
          <w:szCs w:val="32"/>
          <w:vertAlign w:val="baseline"/>
          <w:lang w:val="en-US" w:eastAsia="zh-CN"/>
        </w:rPr>
        <w:t>14</w:t>
      </w:r>
      <w:r>
        <w:rPr>
          <w:rFonts w:hint="eastAsia" w:ascii="仿宋_GB2312" w:hAnsi="仿宋_GB2312" w:eastAsia="仿宋_GB2312" w:cs="仿宋_GB2312"/>
          <w:color w:val="000000"/>
          <w:spacing w:val="10"/>
          <w:kern w:val="2"/>
          <w:sz w:val="32"/>
          <w:szCs w:val="32"/>
          <w:vertAlign w:val="baseline"/>
        </w:rPr>
        <w:t>日</w:t>
      </w:r>
    </w:p>
    <w:p>
      <w:pPr>
        <w:keepNext w:val="0"/>
        <w:keepLines w:val="0"/>
        <w:pageBreakBefore w:val="0"/>
        <w:widowControl w:val="0"/>
        <w:numPr>
          <w:ilvl w:val="0"/>
          <w:numId w:val="0"/>
        </w:numPr>
        <w:pBdr>
          <w:top w:val="none" w:color="auto" w:sz="0" w:space="0"/>
          <w:bottom w:val="none" w:color="auto" w:sz="0" w:space="0"/>
        </w:pBdr>
        <w:kinsoku/>
        <w:wordWrap/>
        <w:overflowPunct w:val="0"/>
        <w:topLinePunct w:val="0"/>
        <w:autoSpaceDE/>
        <w:autoSpaceDN/>
        <w:bidi w:val="0"/>
        <w:adjustRightInd w:val="0"/>
        <w:snapToGrid w:val="0"/>
        <w:spacing w:beforeLines="0" w:afterLines="0" w:line="240" w:lineRule="auto"/>
        <w:ind w:firstLine="0"/>
        <w:textAlignment w:val="auto"/>
        <w:outlineLvl w:val="9"/>
        <w:rPr>
          <w:rFonts w:hint="eastAsia" w:ascii="仿宋_GB2312" w:eastAsia="仿宋_GB2312"/>
          <w:color w:val="auto"/>
          <w:spacing w:val="8"/>
          <w:sz w:val="10"/>
          <w:szCs w:val="10"/>
        </w:rPr>
      </w:pPr>
      <w:bookmarkStart w:id="0" w:name="_GoBack"/>
      <w:bookmarkEnd w:id="0"/>
    </w:p>
    <w:sectPr>
      <w:footerReference r:id="rId3" w:type="default"/>
      <w:pgSz w:w="11906" w:h="16838"/>
      <w:pgMar w:top="2098" w:right="1474" w:bottom="1984" w:left="1587" w:header="851" w:footer="1587"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BF4546"/>
    <w:rsid w:val="077EED28"/>
    <w:rsid w:val="17BF0E09"/>
    <w:rsid w:val="1BFA0163"/>
    <w:rsid w:val="1F7FD2C4"/>
    <w:rsid w:val="3BBFA01E"/>
    <w:rsid w:val="3DBF4546"/>
    <w:rsid w:val="5B599CE8"/>
    <w:rsid w:val="5BD12A27"/>
    <w:rsid w:val="5BFE45CC"/>
    <w:rsid w:val="5CF97CC7"/>
    <w:rsid w:val="5F0D2BD5"/>
    <w:rsid w:val="5FDE0B92"/>
    <w:rsid w:val="5FFFC904"/>
    <w:rsid w:val="6BFD5D12"/>
    <w:rsid w:val="759DF7DD"/>
    <w:rsid w:val="77DE7469"/>
    <w:rsid w:val="7CF79686"/>
    <w:rsid w:val="7D47B139"/>
    <w:rsid w:val="7DDBF5D4"/>
    <w:rsid w:val="7DFDCB51"/>
    <w:rsid w:val="7EF90369"/>
    <w:rsid w:val="7FBFD3DF"/>
    <w:rsid w:val="7FEEE631"/>
    <w:rsid w:val="7FFB9A01"/>
    <w:rsid w:val="7FFF6214"/>
    <w:rsid w:val="8BFFA906"/>
    <w:rsid w:val="BFDB4702"/>
    <w:rsid w:val="BFFB0623"/>
    <w:rsid w:val="CE493AD1"/>
    <w:rsid w:val="DABF6FDB"/>
    <w:rsid w:val="DEFED4E3"/>
    <w:rsid w:val="DFEF5B92"/>
    <w:rsid w:val="E2FFE909"/>
    <w:rsid w:val="E97A54A1"/>
    <w:rsid w:val="EB7EFC1E"/>
    <w:rsid w:val="EDDDBDB1"/>
    <w:rsid w:val="EED756F8"/>
    <w:rsid w:val="EEE79AE5"/>
    <w:rsid w:val="EFCEA17B"/>
    <w:rsid w:val="FB75A9E3"/>
    <w:rsid w:val="FB9C1C65"/>
    <w:rsid w:val="FF47B52D"/>
    <w:rsid w:val="FFEF6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rmalIndent"/>
    <w:next w:val="1"/>
    <w:qFormat/>
    <w:uiPriority w:val="0"/>
    <w:pPr>
      <w:widowControl w:val="0"/>
      <w:spacing w:line="240" w:lineRule="auto"/>
      <w:ind w:firstLine="420"/>
      <w:jc w:val="both"/>
      <w:textAlignment w:val="baseline"/>
    </w:pPr>
    <w:rPr>
      <w:rFonts w:ascii="宋体" w:hAnsi="Calibri" w:eastAsia="宋体" w:cs="Times New Roman"/>
      <w:kern w:val="0"/>
      <w:sz w:val="21"/>
      <w:szCs w:val="24"/>
      <w:lang w:val="en-US" w:eastAsia="zh-CN" w:bidi="ar-SA"/>
    </w:rPr>
  </w:style>
  <w:style w:type="paragraph" w:styleId="3">
    <w:name w:val="footer"/>
    <w:basedOn w:val="1"/>
    <w:unhideWhenUsed/>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customStyle="1" w:styleId="6">
    <w:name w:val="列出段落11"/>
    <w:qFormat/>
    <w:uiPriority w:val="34"/>
    <w:pPr>
      <w:widowControl w:val="0"/>
      <w:spacing w:line="360" w:lineRule="auto"/>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2026-05-04T07:35:00Z</dcterms:created>
  <dc:creator>周蕾</dc:creator>
  <cp:lastModifiedBy>user</cp:lastModifiedBy>
  <cp:lastPrinted>2026-06-05T12:35:00Z</cp:lastPrinted>
  <dcterms:modified xsi:type="dcterms:W3CDTF">2026-09-24T14:13:23Z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D33364F410840C0C59A9AC6A5A0F2A7C</vt:lpwstr>
  </property>
</Properties>
</file>